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EE2" w:rsidRPr="002E2EE2" w:rsidRDefault="002E2EE2" w:rsidP="003A644B">
      <w:pPr>
        <w:pStyle w:val="Textoindependiente"/>
        <w:widowControl w:val="0"/>
        <w:tabs>
          <w:tab w:val="left" w:pos="2410"/>
          <w:tab w:val="left" w:pos="3261"/>
          <w:tab w:val="left" w:pos="5954"/>
          <w:tab w:val="left" w:pos="6946"/>
        </w:tabs>
        <w:suppressAutoHyphens/>
        <w:spacing w:after="0" w:line="240" w:lineRule="auto"/>
        <w:ind w:left="3261" w:right="2409" w:hanging="993"/>
        <w:jc w:val="both"/>
        <w:rPr>
          <w:rFonts w:ascii="Tahoma" w:hAnsi="Tahoma" w:cs="Tahoma"/>
          <w:i/>
          <w:sz w:val="20"/>
          <w:szCs w:val="20"/>
          <w:lang w:val="es-PE"/>
        </w:rPr>
      </w:pPr>
      <w:r w:rsidRPr="002E2EE2">
        <w:rPr>
          <w:rFonts w:ascii="Tahoma" w:hAnsi="Tahoma" w:cs="Tahoma"/>
          <w:b/>
          <w:i/>
          <w:sz w:val="20"/>
          <w:szCs w:val="20"/>
        </w:rPr>
        <w:t xml:space="preserve">Sumilla: </w:t>
      </w:r>
      <w:r w:rsidRPr="002E2EE2">
        <w:rPr>
          <w:rFonts w:ascii="Tahoma" w:hAnsi="Tahoma" w:cs="Tahoma"/>
          <w:i/>
          <w:sz w:val="20"/>
          <w:szCs w:val="20"/>
          <w:lang w:val="es-MX"/>
        </w:rPr>
        <w:t xml:space="preserve">Para </w:t>
      </w:r>
      <w:r w:rsidRPr="002E2EE2">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2E2EE2" w:rsidRPr="002E2EE2" w:rsidRDefault="002E2EE2" w:rsidP="002E2EE2">
      <w:pPr>
        <w:pStyle w:val="Textoindependiente3"/>
        <w:spacing w:after="0"/>
        <w:ind w:left="4248" w:right="179" w:firstLine="708"/>
        <w:jc w:val="both"/>
        <w:rPr>
          <w:rFonts w:ascii="Tahoma" w:hAnsi="Tahoma" w:cs="Tahoma"/>
          <w:b/>
          <w:sz w:val="20"/>
          <w:szCs w:val="20"/>
        </w:rPr>
      </w:pPr>
    </w:p>
    <w:p w:rsidR="002E2EE2" w:rsidRPr="002E2EE2" w:rsidRDefault="002E2EE2" w:rsidP="002E2EE2">
      <w:pPr>
        <w:pStyle w:val="Textoindependiente3"/>
        <w:spacing w:after="0"/>
        <w:ind w:left="4248" w:right="179" w:firstLine="708"/>
        <w:jc w:val="both"/>
        <w:rPr>
          <w:rFonts w:ascii="Tahoma" w:hAnsi="Tahoma" w:cs="Tahoma"/>
          <w:sz w:val="20"/>
          <w:szCs w:val="20"/>
        </w:rPr>
      </w:pPr>
      <w:r w:rsidRPr="002E2EE2">
        <w:rPr>
          <w:rFonts w:ascii="Tahoma" w:hAnsi="Tahoma" w:cs="Tahoma"/>
          <w:b/>
          <w:sz w:val="20"/>
          <w:szCs w:val="20"/>
        </w:rPr>
        <w:t>Lima</w:t>
      </w:r>
      <w:r w:rsidRPr="002E2EE2">
        <w:rPr>
          <w:rFonts w:ascii="Tahoma" w:hAnsi="Tahoma" w:cs="Tahoma"/>
          <w:sz w:val="20"/>
          <w:szCs w:val="20"/>
        </w:rPr>
        <w:t xml:space="preserve">, </w:t>
      </w:r>
      <w:r w:rsidR="00F20768">
        <w:rPr>
          <w:rFonts w:ascii="Tahoma" w:hAnsi="Tahoma" w:cs="Tahoma"/>
          <w:sz w:val="20"/>
          <w:szCs w:val="20"/>
        </w:rPr>
        <w:t>11 de Mayo de 2011</w:t>
      </w:r>
    </w:p>
    <w:p w:rsidR="002E2EE2" w:rsidRPr="002E2EE2" w:rsidRDefault="002E2EE2" w:rsidP="002E2EE2">
      <w:pPr>
        <w:pStyle w:val="Textoindependiente3"/>
        <w:spacing w:after="0"/>
        <w:jc w:val="both"/>
        <w:rPr>
          <w:rFonts w:ascii="Tahoma" w:hAnsi="Tahoma" w:cs="Tahoma"/>
          <w:sz w:val="20"/>
          <w:szCs w:val="20"/>
        </w:rPr>
      </w:pPr>
    </w:p>
    <w:p w:rsidR="002E2EE2" w:rsidRPr="002E2EE2" w:rsidRDefault="002E2EE2" w:rsidP="002E2EE2">
      <w:pPr>
        <w:spacing w:after="0" w:line="240" w:lineRule="auto"/>
        <w:jc w:val="both"/>
        <w:rPr>
          <w:rFonts w:ascii="Tahoma" w:hAnsi="Tahoma" w:cs="Tahoma"/>
          <w:sz w:val="20"/>
          <w:szCs w:val="20"/>
        </w:rPr>
      </w:pPr>
      <w:r w:rsidRPr="002E2EE2">
        <w:rPr>
          <w:rFonts w:ascii="Tahoma" w:hAnsi="Tahoma" w:cs="Tahoma"/>
          <w:b/>
          <w:sz w:val="20"/>
          <w:szCs w:val="20"/>
        </w:rPr>
        <w:t>VISTO</w:t>
      </w:r>
      <w:r>
        <w:rPr>
          <w:rFonts w:ascii="Tahoma" w:hAnsi="Tahoma" w:cs="Tahoma"/>
          <w:sz w:val="20"/>
          <w:szCs w:val="20"/>
        </w:rPr>
        <w:t xml:space="preserve"> en sesión de fecha 10</w:t>
      </w:r>
      <w:r w:rsidRPr="002E2EE2">
        <w:rPr>
          <w:rFonts w:ascii="Tahoma" w:hAnsi="Tahoma" w:cs="Tahoma"/>
          <w:sz w:val="20"/>
          <w:szCs w:val="20"/>
        </w:rPr>
        <w:t xml:space="preserve"> de </w:t>
      </w:r>
      <w:r>
        <w:rPr>
          <w:rFonts w:ascii="Tahoma" w:hAnsi="Tahoma" w:cs="Tahoma"/>
          <w:sz w:val="20"/>
          <w:szCs w:val="20"/>
        </w:rPr>
        <w:t>may</w:t>
      </w:r>
      <w:r w:rsidRPr="002E2EE2">
        <w:rPr>
          <w:rFonts w:ascii="Tahoma" w:hAnsi="Tahoma" w:cs="Tahoma"/>
          <w:sz w:val="20"/>
          <w:szCs w:val="20"/>
        </w:rPr>
        <w:t>o de 2011 de la Primera Sala del Tribunal de Contrataciones del Estado el Expediente № 1</w:t>
      </w:r>
      <w:r>
        <w:rPr>
          <w:rFonts w:ascii="Tahoma" w:hAnsi="Tahoma" w:cs="Tahoma"/>
          <w:sz w:val="20"/>
          <w:szCs w:val="20"/>
        </w:rPr>
        <w:t>631</w:t>
      </w:r>
      <w:r w:rsidRPr="002E2EE2">
        <w:rPr>
          <w:rFonts w:ascii="Tahoma" w:hAnsi="Tahoma" w:cs="Tahoma"/>
          <w:sz w:val="20"/>
          <w:szCs w:val="20"/>
        </w:rPr>
        <w:t xml:space="preserve">/2010.TC, sobre el procedimiento administrativo sancionador contra </w:t>
      </w:r>
      <w:r w:rsidRPr="002E2EE2">
        <w:rPr>
          <w:rFonts w:ascii="Tahoma" w:hAnsi="Tahoma" w:cs="Tahoma"/>
          <w:sz w:val="20"/>
          <w:szCs w:val="20"/>
          <w:lang w:val="es-PE"/>
        </w:rPr>
        <w:t>la empresa DEXION E.I.R.L.</w:t>
      </w:r>
      <w:r w:rsidRPr="002E2EE2">
        <w:rPr>
          <w:rFonts w:ascii="Tahoma" w:hAnsi="Tahoma" w:cs="Tahoma"/>
          <w:sz w:val="20"/>
          <w:szCs w:val="20"/>
        </w:rPr>
        <w:t xml:space="preserve">, </w:t>
      </w:r>
      <w:r w:rsidRPr="002E2EE2">
        <w:rPr>
          <w:rFonts w:ascii="Tahoma" w:hAnsi="Tahoma" w:cs="Tahoma"/>
          <w:sz w:val="20"/>
          <w:szCs w:val="20"/>
          <w:lang w:val="es-MX"/>
        </w:rPr>
        <w:t xml:space="preserve">por la presentación de documentos falsos durante </w:t>
      </w:r>
      <w:r>
        <w:rPr>
          <w:rFonts w:ascii="Tahoma" w:hAnsi="Tahoma" w:cs="Tahoma"/>
          <w:sz w:val="20"/>
          <w:szCs w:val="20"/>
        </w:rPr>
        <w:t xml:space="preserve">la realización del trámite </w:t>
      </w:r>
      <w:r w:rsidRPr="002E2EE2">
        <w:rPr>
          <w:rFonts w:ascii="Tahoma" w:hAnsi="Tahoma" w:cs="Tahoma"/>
          <w:sz w:val="20"/>
          <w:szCs w:val="20"/>
        </w:rPr>
        <w:t xml:space="preserve">de Inscripción como Proveedor de Bienes y Servicios ante el Registro Nacional de Proveedores; y, atendiendo a los siguientes:   </w:t>
      </w:r>
    </w:p>
    <w:p w:rsidR="002E2EE2" w:rsidRPr="002E2EE2" w:rsidRDefault="002E2EE2" w:rsidP="002E2EE2">
      <w:pPr>
        <w:spacing w:after="0" w:line="240" w:lineRule="auto"/>
        <w:ind w:right="45"/>
        <w:jc w:val="both"/>
        <w:rPr>
          <w:rFonts w:ascii="Tahoma" w:hAnsi="Tahoma" w:cs="Tahoma"/>
          <w:sz w:val="20"/>
          <w:szCs w:val="20"/>
        </w:rPr>
      </w:pPr>
    </w:p>
    <w:p w:rsidR="002E2EE2" w:rsidRPr="002E2EE2" w:rsidRDefault="002E2EE2" w:rsidP="002E2EE2">
      <w:pPr>
        <w:pStyle w:val="Ttulo2"/>
        <w:jc w:val="both"/>
        <w:rPr>
          <w:rFonts w:cs="Tahoma"/>
          <w:sz w:val="20"/>
        </w:rPr>
      </w:pPr>
      <w:r w:rsidRPr="002E2EE2">
        <w:rPr>
          <w:rFonts w:cs="Tahoma"/>
          <w:sz w:val="20"/>
        </w:rPr>
        <w:t>ANTECEDENTES:</w:t>
      </w:r>
    </w:p>
    <w:p w:rsidR="002E2EE2" w:rsidRDefault="002E2EE2" w:rsidP="002E2EE2">
      <w:pPr>
        <w:pStyle w:val="NormalWeb"/>
        <w:tabs>
          <w:tab w:val="num" w:pos="900"/>
        </w:tabs>
        <w:spacing w:before="0" w:beforeAutospacing="0" w:after="0" w:afterAutospacing="0"/>
        <w:ind w:left="360"/>
        <w:jc w:val="both"/>
        <w:rPr>
          <w:rFonts w:ascii="Tahoma" w:hAnsi="Tahoma" w:cs="Tahoma"/>
          <w:sz w:val="20"/>
          <w:szCs w:val="20"/>
          <w:lang w:val="es-PE"/>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2E2EE2">
        <w:rPr>
          <w:rFonts w:ascii="Tahoma" w:hAnsi="Tahoma" w:cs="Tahoma"/>
          <w:sz w:val="20"/>
          <w:szCs w:val="20"/>
          <w:lang w:val="es-PE"/>
        </w:rPr>
        <w:t xml:space="preserve">El 13 de octubre de 2008, la empresa DEXION E.I.R.L., en adelante el Proveedor, realizó el pago de la tasa correspondiente a efectos de renovar su inscripción en el capítulo de Bienes y Servicios del Registro Nacional de Proveedores. </w:t>
      </w:r>
    </w:p>
    <w:p w:rsidR="002E2EE2" w:rsidRPr="002E2EE2" w:rsidRDefault="002E2EE2" w:rsidP="002E2EE2">
      <w:pPr>
        <w:pStyle w:val="NormalWeb"/>
        <w:tabs>
          <w:tab w:val="num" w:pos="900"/>
        </w:tabs>
        <w:spacing w:before="0" w:beforeAutospacing="0" w:after="0" w:afterAutospacing="0"/>
        <w:jc w:val="both"/>
        <w:rPr>
          <w:rFonts w:ascii="Tahoma" w:hAnsi="Tahoma" w:cs="Tahoma"/>
          <w:sz w:val="20"/>
          <w:szCs w:val="20"/>
          <w:lang w:val="es-PE"/>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2E2EE2">
        <w:rPr>
          <w:rFonts w:ascii="Tahoma" w:hAnsi="Tahoma" w:cs="Tahoma"/>
          <w:sz w:val="20"/>
          <w:szCs w:val="20"/>
          <w:lang w:val="es-PE"/>
        </w:rPr>
        <w:t>El 14 de octubre de 2008, se obtuvo la renovación de inscripción automática, en los capítulos de bienes y servicios del R.N.P. con registros números B0073998 y S0273083, con vigencia hasta el 14 de octubre de 2009.</w:t>
      </w:r>
    </w:p>
    <w:p w:rsidR="002E2EE2" w:rsidRPr="002E2EE2" w:rsidRDefault="002E2EE2" w:rsidP="002E2EE2">
      <w:pPr>
        <w:pStyle w:val="Prrafodelista"/>
        <w:rPr>
          <w:rFonts w:ascii="Tahoma" w:hAnsi="Tahoma" w:cs="Tahoma"/>
          <w:sz w:val="20"/>
          <w:lang w:val="es-PE"/>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lang w:val="es-PE"/>
        </w:rPr>
      </w:pPr>
      <w:r w:rsidRPr="002E2EE2">
        <w:rPr>
          <w:rFonts w:ascii="Tahoma" w:hAnsi="Tahoma" w:cs="Tahoma"/>
          <w:sz w:val="20"/>
          <w:szCs w:val="20"/>
          <w:lang w:val="es-PE"/>
        </w:rPr>
        <w:t>El 31 de octubre de 2008, el Proveedor presentó los requisitos necesarios para la renovación de inscripción como Proveedor de Bienes y Servicios, a efectos de formalizar su trámite. En dicha oportunidad se presentó el Certificado –Licencia de Apertura- Registro Nº 182-S de fecha 10 de octubre de 2007.</w:t>
      </w:r>
    </w:p>
    <w:p w:rsidR="002E2EE2" w:rsidRPr="002E2EE2" w:rsidRDefault="002E2EE2" w:rsidP="002E2EE2">
      <w:pPr>
        <w:pStyle w:val="Prrafodelista"/>
        <w:rPr>
          <w:rFonts w:ascii="Tahoma" w:hAnsi="Tahoma" w:cs="Tahoma"/>
          <w:sz w:val="20"/>
          <w:lang w:val="es-PE"/>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De conformidad con lo establecido en el artículo 32º de la Ley 27444- Ley de Procedimiento Administrativo General, la Subdirección del Registro Nacional de Proveedores dispuso iniciar la fiscalización posterior a la documentación presentada por el Proveedor.</w:t>
      </w:r>
    </w:p>
    <w:p w:rsidR="002E2EE2" w:rsidRPr="002E2EE2" w:rsidRDefault="002E2EE2" w:rsidP="002E2EE2">
      <w:pPr>
        <w:pStyle w:val="Prrafodelista"/>
        <w:rPr>
          <w:rFonts w:ascii="Tahoma" w:hAnsi="Tahoma" w:cs="Tahoma"/>
          <w:sz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 xml:space="preserve">Mediante Oficio Nº 915-2009-OSCE-DSFE/SF. DT de fecha 15 de abril de 2009,  y notificado el 04 de abril del mismo año, se solicitó a la Municipalidad Provincial de Huamanga, brinde su conformidad a la </w:t>
      </w:r>
      <w:r w:rsidRPr="002E2EE2">
        <w:rPr>
          <w:rFonts w:ascii="Tahoma" w:hAnsi="Tahoma" w:cs="Tahoma"/>
          <w:sz w:val="20"/>
          <w:szCs w:val="20"/>
          <w:lang w:val="es-PE"/>
        </w:rPr>
        <w:t>Licencia de Apertura- Registro Nº 182-S de fecha 10 de octubre de 2007</w:t>
      </w:r>
      <w:r w:rsidRPr="002E2EE2">
        <w:rPr>
          <w:rFonts w:ascii="Tahoma" w:hAnsi="Tahoma" w:cs="Tahoma"/>
          <w:sz w:val="20"/>
          <w:szCs w:val="20"/>
        </w:rPr>
        <w:t>.</w:t>
      </w:r>
    </w:p>
    <w:p w:rsidR="002E2EE2" w:rsidRPr="002E2EE2" w:rsidRDefault="002E2EE2" w:rsidP="002E2EE2">
      <w:pPr>
        <w:pStyle w:val="NormalWeb"/>
        <w:tabs>
          <w:tab w:val="num" w:pos="900"/>
        </w:tabs>
        <w:spacing w:before="0" w:beforeAutospacing="0" w:after="0" w:afterAutospacing="0"/>
        <w:jc w:val="both"/>
        <w:rPr>
          <w:rFonts w:ascii="Tahoma" w:hAnsi="Tahoma" w:cs="Tahoma"/>
          <w:sz w:val="20"/>
          <w:szCs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i/>
          <w:iCs/>
          <w:sz w:val="20"/>
          <w:szCs w:val="20"/>
        </w:rPr>
      </w:pPr>
      <w:r w:rsidRPr="002E2EE2">
        <w:rPr>
          <w:rFonts w:ascii="Tahoma" w:hAnsi="Tahoma" w:cs="Tahoma"/>
          <w:sz w:val="20"/>
          <w:szCs w:val="20"/>
        </w:rPr>
        <w:t xml:space="preserve">Mediante Oficio Nº 194-2009-MPH/12.49 de fecha 15 de mayo de 2009, recibido el 18 del mismo mes y año, la Municipalidad Provincial de Huamanga adjuntó el Informe Nº 014-2009-MPH-SGDE-AL/S, en el que informó lo siguiente: </w:t>
      </w:r>
      <w:r w:rsidRPr="002E2EE2">
        <w:rPr>
          <w:rFonts w:ascii="Tahoma" w:hAnsi="Tahoma" w:cs="Tahoma"/>
          <w:i/>
          <w:iCs/>
          <w:sz w:val="20"/>
          <w:szCs w:val="20"/>
        </w:rPr>
        <w:t xml:space="preserve">“(…) Las licencias de apertura fueron expedidas por la Municipalidad Provincial de huamanga hasta el 04 de setiembre de 2007 y en cumplimiento a la Ley marco de Licencia de Funcionamiento Ley Nº 28976 y </w:t>
      </w:r>
      <w:r w:rsidRPr="002E2EE2">
        <w:rPr>
          <w:rFonts w:ascii="Tahoma" w:hAnsi="Tahoma" w:cs="Tahoma"/>
          <w:i/>
          <w:iCs/>
          <w:sz w:val="20"/>
          <w:szCs w:val="20"/>
        </w:rPr>
        <w:lastRenderedPageBreak/>
        <w:t>a la ordenanza Municipal Nº 042-2007-MPH/A que aprueba el Reglamento del otorgamiento de Licencia de funcionamiento y autorizaciones de establecimientos comerciales, a partir del 05 de octubre de 2007 se emitieron licencias de funcionamiento y no licencias de apertura, sin embargo la licencia de apertura presentada por el Proveedor fue de fecha 10 de octubre de 2007, cuando ya se había dejado de expedir dichos documentos. (…) Según la Licencia de Apertura presentada, se advierte que el trámite para la expedición de dicho acto administrativo se inició con el expediente Nº 00666-2007, sin embargo, previa verificación de la hoja de remisión y cargo del área de trámite documentario, se aprecia que el expediente  con Nº 00666 de fecha 12 de enero de 2007 ha sido presentado por el Sr. Marcelino M. Lozano, solicitando reconsideración.”</w:t>
      </w:r>
    </w:p>
    <w:p w:rsidR="002E2EE2" w:rsidRPr="002E2EE2" w:rsidRDefault="002E2EE2" w:rsidP="002E2EE2">
      <w:pPr>
        <w:pStyle w:val="NormalWeb"/>
        <w:tabs>
          <w:tab w:val="num" w:pos="900"/>
        </w:tabs>
        <w:spacing w:before="0" w:beforeAutospacing="0" w:after="0" w:afterAutospacing="0"/>
        <w:jc w:val="both"/>
        <w:rPr>
          <w:rFonts w:ascii="Tahoma" w:hAnsi="Tahoma" w:cs="Tahoma"/>
          <w:sz w:val="20"/>
          <w:szCs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Mediante Resolución Nº 061-2009-OSCE/DS de fecha 17 de junio de 2009, la Dirección del SEACE resolvió declara la Nulidad del trámite de renovación de inscripción como bienes y servicios en el RNP, así como dejar sin efecto legal alguno las constancias de inscripción electrónica generadas a su nombre. Comunicar la presente Resolución ante el Tribunal de Contrataciones del Estado.</w:t>
      </w:r>
    </w:p>
    <w:p w:rsidR="002E2EE2" w:rsidRPr="002E2EE2" w:rsidRDefault="002E2EE2" w:rsidP="002E2EE2">
      <w:pPr>
        <w:pStyle w:val="Prrafodelista"/>
        <w:rPr>
          <w:rFonts w:ascii="Tahoma" w:hAnsi="Tahoma" w:cs="Tahoma"/>
          <w:sz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Mediante Oficio Nº 071-2009-OSCE de fecha 17 de junio de 2009,  se notificó la Resolución detallada al Proveedor.</w:t>
      </w:r>
    </w:p>
    <w:p w:rsidR="002E2EE2" w:rsidRDefault="002E2EE2" w:rsidP="002E2EE2">
      <w:pPr>
        <w:pStyle w:val="NormalWeb"/>
        <w:tabs>
          <w:tab w:val="num" w:pos="900"/>
        </w:tabs>
        <w:spacing w:before="0" w:beforeAutospacing="0" w:after="0" w:afterAutospacing="0"/>
        <w:ind w:left="360"/>
        <w:jc w:val="both"/>
        <w:rPr>
          <w:rFonts w:ascii="Tahoma" w:hAnsi="Tahoma" w:cs="Tahoma"/>
          <w:sz w:val="20"/>
          <w:szCs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Con Memorando Nº 2865-2010/DS-MSH de fecha 14 de noviembre de 2010, la Entidad puso en conocimiento de este Tribunal los hechos antes descritos; y en función a ello, mediante Decreto de fecha 17 de noviembre de 2010, se dispuso el inicio del procedimiento administrativo sancionador contra la empresa proveedora por supuesta responsabilidad en la presentación de documentos falsos o inexactos durante la realización del trámite de inscripción como ejecutor de obras ante el Registro Nacional de Proveedores, infracción tipificada en el numeral 9) del artículo 294º del Reglamento, emplazando al contratista para que presente sus descargos en el plazo de diez (10) días, bajo apercibimiento de resolver con la documentación obrante en autos.</w:t>
      </w:r>
    </w:p>
    <w:p w:rsidR="002E2EE2" w:rsidRPr="002E2EE2" w:rsidRDefault="002E2EE2" w:rsidP="002E2EE2">
      <w:pPr>
        <w:pStyle w:val="Prrafodelista"/>
        <w:rPr>
          <w:rFonts w:ascii="Tahoma" w:hAnsi="Tahoma" w:cs="Tahoma"/>
          <w:sz w:val="20"/>
          <w:highlight w:val="yellow"/>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 xml:space="preserve">Mediante decreto de fecha 17 de marzo de 2011, se realizó una precisión al decreto de fecha 29 de noviembre de 2011, </w:t>
      </w:r>
      <w:r w:rsidRPr="002E2EE2">
        <w:rPr>
          <w:rFonts w:ascii="Tahoma" w:hAnsi="Tahoma" w:cs="Tahoma"/>
          <w:color w:val="000000"/>
          <w:sz w:val="20"/>
          <w:szCs w:val="20"/>
        </w:rPr>
        <w:t>en el extremo referido a la infracción en la que habría incurrido la denunciada, la cual corresponde al numeral 10) del artículo 294º del Reglamento de la Ley de Contrataciones y Adquisiciones del Estado, aprobado mediante D.S. Nº 084-2004-PCM. En tal sentido, a fin de no afectar el derecho de defensa de la mencionada empresa se le otorgó el plazo de diez (10) días hábiles al proveedor, a fin que cumpla con presentar sus descargos.</w:t>
      </w:r>
    </w:p>
    <w:p w:rsidR="002E2EE2" w:rsidRPr="002E2EE2" w:rsidRDefault="002E2EE2" w:rsidP="002E2EE2">
      <w:pPr>
        <w:pStyle w:val="Prrafodelista"/>
        <w:rPr>
          <w:rFonts w:ascii="Tahoma" w:hAnsi="Tahoma" w:cs="Tahoma"/>
          <w:sz w:val="20"/>
        </w:rPr>
      </w:pPr>
    </w:p>
    <w:p w:rsidR="002E2EE2" w:rsidRPr="002E2EE2" w:rsidRDefault="002E2EE2" w:rsidP="002E2EE2">
      <w:pPr>
        <w:pStyle w:val="NormalWeb"/>
        <w:numPr>
          <w:ilvl w:val="0"/>
          <w:numId w:val="1"/>
        </w:numPr>
        <w:tabs>
          <w:tab w:val="num" w:pos="900"/>
        </w:tabs>
        <w:spacing w:before="0" w:beforeAutospacing="0" w:after="0" w:afterAutospacing="0"/>
        <w:jc w:val="both"/>
        <w:rPr>
          <w:rFonts w:ascii="Tahoma" w:hAnsi="Tahoma" w:cs="Tahoma"/>
          <w:sz w:val="20"/>
          <w:szCs w:val="20"/>
        </w:rPr>
      </w:pPr>
      <w:r w:rsidRPr="002E2EE2">
        <w:rPr>
          <w:rFonts w:ascii="Tahoma" w:hAnsi="Tahoma" w:cs="Tahoma"/>
          <w:sz w:val="20"/>
          <w:szCs w:val="20"/>
        </w:rPr>
        <w:t xml:space="preserve">Con decreto de fecha 27 de abril de 2011, </w:t>
      </w:r>
      <w:r w:rsidRPr="002E2EE2">
        <w:rPr>
          <w:rFonts w:ascii="Tahoma" w:hAnsi="Tahoma" w:cs="Tahoma"/>
          <w:color w:val="000000"/>
          <w:sz w:val="20"/>
          <w:szCs w:val="20"/>
        </w:rPr>
        <w:t xml:space="preserve">no habiendo cumplido </w:t>
      </w:r>
      <w:r w:rsidRPr="002E2EE2">
        <w:rPr>
          <w:rFonts w:ascii="Tahoma" w:hAnsi="Tahoma" w:cs="Tahoma"/>
          <w:color w:val="000000"/>
          <w:sz w:val="20"/>
          <w:szCs w:val="20"/>
          <w:lang w:val="es-ES_tradnl"/>
        </w:rPr>
        <w:t xml:space="preserve">el Proveedor </w:t>
      </w:r>
      <w:r w:rsidRPr="002E2EE2">
        <w:rPr>
          <w:rFonts w:ascii="Tahoma" w:hAnsi="Tahoma" w:cs="Tahoma"/>
          <w:color w:val="000000"/>
          <w:sz w:val="20"/>
          <w:szCs w:val="20"/>
        </w:rPr>
        <w:t>con presentar sus descargos, se dispuso: hacer efectivo el apercibimiento decretado de resolver con la documentación obrante en autos y, remítase el expediente a la </w:t>
      </w:r>
      <w:r w:rsidRPr="002E2EE2">
        <w:rPr>
          <w:rStyle w:val="Textoennegrita"/>
          <w:rFonts w:ascii="Tahoma" w:hAnsi="Tahoma" w:cs="Tahoma"/>
          <w:color w:val="000000"/>
          <w:sz w:val="20"/>
          <w:szCs w:val="20"/>
        </w:rPr>
        <w:t>Primera</w:t>
      </w:r>
      <w:r w:rsidRPr="002E2EE2">
        <w:rPr>
          <w:rFonts w:ascii="Tahoma" w:hAnsi="Tahoma" w:cs="Tahoma"/>
          <w:color w:val="000000"/>
          <w:sz w:val="20"/>
          <w:szCs w:val="20"/>
        </w:rPr>
        <w:t xml:space="preserve"> Sala del Tribunal para que resuelva.</w:t>
      </w:r>
    </w:p>
    <w:p w:rsidR="002E2EE2" w:rsidRPr="002E2EE2" w:rsidRDefault="002E2EE2" w:rsidP="002E2EE2">
      <w:pPr>
        <w:pStyle w:val="Prrafodelista"/>
        <w:ind w:left="567"/>
        <w:jc w:val="both"/>
        <w:rPr>
          <w:rFonts w:ascii="Tahoma" w:hAnsi="Tahoma" w:cs="Tahoma"/>
          <w:sz w:val="20"/>
          <w:lang w:val="es-ES"/>
        </w:rPr>
      </w:pPr>
    </w:p>
    <w:p w:rsidR="002E2EE2" w:rsidRPr="002E2EE2" w:rsidRDefault="002E2EE2" w:rsidP="002E2EE2">
      <w:pPr>
        <w:tabs>
          <w:tab w:val="num" w:pos="9720"/>
        </w:tabs>
        <w:spacing w:after="0" w:line="240" w:lineRule="auto"/>
        <w:jc w:val="both"/>
        <w:rPr>
          <w:rFonts w:ascii="Tahoma" w:hAnsi="Tahoma" w:cs="Tahoma"/>
          <w:b/>
          <w:sz w:val="20"/>
          <w:szCs w:val="20"/>
        </w:rPr>
      </w:pPr>
      <w:r w:rsidRPr="002E2EE2">
        <w:rPr>
          <w:rFonts w:ascii="Tahoma" w:hAnsi="Tahoma" w:cs="Tahoma"/>
          <w:b/>
          <w:sz w:val="20"/>
          <w:szCs w:val="20"/>
        </w:rPr>
        <w:t>FUNDAMENTACIÓN:</w:t>
      </w:r>
    </w:p>
    <w:p w:rsidR="002E2EE2" w:rsidRDefault="002E2EE2" w:rsidP="002E2EE2">
      <w:pPr>
        <w:rPr>
          <w:rFonts w:ascii="Tahoma" w:hAnsi="Tahoma" w:cs="Tahoma"/>
          <w:b/>
          <w:bCs/>
          <w:sz w:val="20"/>
          <w:szCs w:val="20"/>
          <w:u w:val="single"/>
        </w:rPr>
      </w:pPr>
    </w:p>
    <w:p w:rsidR="002E2EE2" w:rsidRPr="002E2EE2" w:rsidRDefault="002E2EE2" w:rsidP="002E2EE2">
      <w:pPr>
        <w:rPr>
          <w:rFonts w:ascii="Tahoma" w:hAnsi="Tahoma" w:cs="Tahoma"/>
          <w:b/>
          <w:bCs/>
          <w:sz w:val="20"/>
          <w:szCs w:val="20"/>
        </w:rPr>
      </w:pPr>
      <w:r w:rsidRPr="002E2EE2">
        <w:rPr>
          <w:rFonts w:ascii="Tahoma" w:hAnsi="Tahoma" w:cs="Tahoma"/>
          <w:b/>
          <w:bCs/>
          <w:sz w:val="20"/>
          <w:szCs w:val="20"/>
          <w:u w:val="single"/>
        </w:rPr>
        <w:t>De la Competencia del Tribunal de Contrataciones del Estado</w:t>
      </w: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El numeral 1 del artículo 235 de la Ley 27444, Ley de Procedimiento Administrativo General, establece que el Procedimiento Administrativo Sancionador se inicia siempre </w:t>
      </w:r>
      <w:r w:rsidRPr="002E2EE2">
        <w:rPr>
          <w:rFonts w:ascii="Tahoma" w:hAnsi="Tahoma" w:cs="Tahoma"/>
          <w:sz w:val="20"/>
          <w:szCs w:val="20"/>
        </w:rPr>
        <w:lastRenderedPageBreak/>
        <w:t>de oficio, bien por propia iniciativa o como consecuencia de orden superior, petición motivada de otros órganos o entidades por denuncia.</w:t>
      </w:r>
    </w:p>
    <w:p w:rsidR="002E2EE2" w:rsidRDefault="002E2EE2" w:rsidP="002E2EE2">
      <w:pPr>
        <w:spacing w:after="0" w:line="240" w:lineRule="auto"/>
        <w:ind w:left="786"/>
        <w:jc w:val="both"/>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(Texto Único Ordenado de la Ley de Contrataciones y Adquisiciones del Estado), a los proveedores, participantes, postores, contratistas y entidades, según corresponda, por infracciones a las disposiciones contenidas en la Ley y el presente Reglamento.</w:t>
      </w:r>
    </w:p>
    <w:p w:rsidR="002E2EE2" w:rsidRDefault="002E2EE2" w:rsidP="002E2EE2">
      <w:pPr>
        <w:ind w:left="708"/>
        <w:jc w:val="both"/>
        <w:rPr>
          <w:rFonts w:ascii="Tahoma" w:hAnsi="Tahoma" w:cs="Tahoma"/>
          <w:b/>
          <w:bCs/>
          <w:sz w:val="20"/>
          <w:szCs w:val="20"/>
          <w:u w:val="single"/>
          <w:lang w:val="es-MX"/>
        </w:rPr>
      </w:pPr>
    </w:p>
    <w:p w:rsidR="002E2EE2" w:rsidRPr="002E2EE2" w:rsidRDefault="002E2EE2" w:rsidP="002E2EE2">
      <w:pPr>
        <w:ind w:left="708"/>
        <w:jc w:val="both"/>
        <w:rPr>
          <w:rFonts w:ascii="Tahoma" w:hAnsi="Tahoma" w:cs="Tahoma"/>
          <w:b/>
          <w:bCs/>
          <w:sz w:val="20"/>
          <w:szCs w:val="20"/>
          <w:u w:val="single"/>
          <w:lang w:val="es-MX"/>
        </w:rPr>
      </w:pPr>
      <w:r w:rsidRPr="002E2EE2">
        <w:rPr>
          <w:rFonts w:ascii="Tahoma" w:hAnsi="Tahoma" w:cs="Tahoma"/>
          <w:b/>
          <w:bCs/>
          <w:sz w:val="20"/>
          <w:szCs w:val="20"/>
          <w:u w:val="single"/>
          <w:lang w:val="es-MX"/>
        </w:rPr>
        <w:t>Del Procedimiento Sancionador</w:t>
      </w:r>
    </w:p>
    <w:p w:rsidR="002E2EE2" w:rsidRPr="002E2EE2" w:rsidRDefault="002E2EE2" w:rsidP="002E2EE2">
      <w:pPr>
        <w:numPr>
          <w:ilvl w:val="0"/>
          <w:numId w:val="3"/>
        </w:numPr>
        <w:tabs>
          <w:tab w:val="clear" w:pos="900"/>
          <w:tab w:val="num" w:pos="454"/>
          <w:tab w:val="num" w:pos="786"/>
        </w:tabs>
        <w:spacing w:after="0" w:line="240" w:lineRule="auto"/>
        <w:ind w:left="786"/>
        <w:jc w:val="both"/>
        <w:rPr>
          <w:rFonts w:ascii="Tahoma" w:hAnsi="Tahoma" w:cs="Tahoma"/>
          <w:b/>
          <w:bCs/>
          <w:sz w:val="20"/>
          <w:szCs w:val="20"/>
          <w:u w:val="single"/>
          <w:lang w:val="es-MX"/>
        </w:rPr>
      </w:pPr>
      <w:r w:rsidRPr="002E2EE2">
        <w:rPr>
          <w:rFonts w:ascii="Tahoma" w:hAnsi="Tahoma" w:cs="Tahoma"/>
          <w:sz w:val="20"/>
          <w:szCs w:val="20"/>
          <w:lang w:val="es-MX"/>
        </w:rPr>
        <w:t xml:space="preserve">El presente caso está referido a la supuesta responsabilidad de la empresa </w:t>
      </w:r>
      <w:r w:rsidRPr="002E2EE2">
        <w:rPr>
          <w:rFonts w:ascii="Tahoma" w:hAnsi="Tahoma" w:cs="Tahoma"/>
          <w:sz w:val="20"/>
          <w:szCs w:val="20"/>
          <w:lang w:val="es-PE"/>
        </w:rPr>
        <w:t>DEXION E.I.R.L.</w:t>
      </w:r>
      <w:r w:rsidRPr="002E2EE2">
        <w:rPr>
          <w:rFonts w:ascii="Tahoma" w:hAnsi="Tahoma" w:cs="Tahoma"/>
          <w:sz w:val="20"/>
          <w:szCs w:val="20"/>
        </w:rPr>
        <w:t>,</w:t>
      </w:r>
      <w:r w:rsidRPr="002E2EE2">
        <w:rPr>
          <w:rFonts w:ascii="Tahoma" w:hAnsi="Tahoma" w:cs="Tahoma"/>
          <w:sz w:val="20"/>
          <w:szCs w:val="20"/>
          <w:lang w:val="es-MX"/>
        </w:rPr>
        <w:t xml:space="preserve"> por la presentación de documentos falsos durante </w:t>
      </w:r>
      <w:r w:rsidRPr="002E2EE2">
        <w:rPr>
          <w:rFonts w:ascii="Tahoma" w:hAnsi="Tahoma" w:cs="Tahoma"/>
          <w:sz w:val="20"/>
          <w:szCs w:val="20"/>
        </w:rPr>
        <w:t>la realización del trámite de Renovación de Inscripción como Proveedor de Bienes y Servicios ante el Registro Nacional de Proveedores</w:t>
      </w:r>
      <w:r w:rsidRPr="002E2EE2">
        <w:rPr>
          <w:rFonts w:ascii="Tahoma" w:hAnsi="Tahoma" w:cs="Tahoma"/>
          <w:sz w:val="20"/>
          <w:szCs w:val="20"/>
          <w:lang w:val="es-MX"/>
        </w:rPr>
        <w:t xml:space="preserve">, </w:t>
      </w:r>
      <w:r w:rsidRPr="002E2EE2">
        <w:rPr>
          <w:rFonts w:ascii="Tahoma" w:hAnsi="Tahoma" w:cs="Tahoma"/>
          <w:sz w:val="20"/>
          <w:szCs w:val="20"/>
        </w:rPr>
        <w:t>infracción tipificada en el numeral 10) del artículo 294</w:t>
      </w:r>
      <w:r w:rsidRPr="002E2EE2">
        <w:rPr>
          <w:rStyle w:val="Refdenotaalpie"/>
          <w:rFonts w:ascii="Tahoma" w:hAnsi="Tahoma" w:cs="Tahoma"/>
          <w:sz w:val="20"/>
          <w:szCs w:val="20"/>
        </w:rPr>
        <w:footnoteReference w:id="2"/>
      </w:r>
      <w:r w:rsidRPr="002E2EE2">
        <w:rPr>
          <w:rFonts w:ascii="Tahoma" w:hAnsi="Tahoma" w:cs="Tahoma"/>
          <w:sz w:val="20"/>
          <w:szCs w:val="20"/>
        </w:rPr>
        <w:t xml:space="preserve"> del Reglamento de la Ley de Contrataciones y Adquisiciones del Estado, aprobado por Decreto Supremo N.° 084-2004-PCM, en adelante el Reglamento.</w:t>
      </w:r>
    </w:p>
    <w:p w:rsidR="002E2EE2" w:rsidRPr="002E2EE2" w:rsidRDefault="002E2EE2" w:rsidP="002E2EE2">
      <w:pPr>
        <w:tabs>
          <w:tab w:val="num" w:pos="900"/>
        </w:tabs>
        <w:spacing w:after="0" w:line="240" w:lineRule="auto"/>
        <w:ind w:left="786"/>
        <w:jc w:val="both"/>
        <w:rPr>
          <w:rFonts w:ascii="Tahoma" w:hAnsi="Tahoma" w:cs="Tahoma"/>
          <w:sz w:val="20"/>
          <w:szCs w:val="20"/>
          <w:lang w:val="es-MX"/>
        </w:rPr>
      </w:pPr>
    </w:p>
    <w:p w:rsidR="002E2EE2" w:rsidRPr="002E2EE2" w:rsidRDefault="002E2EE2" w:rsidP="002E2EE2">
      <w:pPr>
        <w:numPr>
          <w:ilvl w:val="0"/>
          <w:numId w:val="3"/>
        </w:numPr>
        <w:tabs>
          <w:tab w:val="clear" w:pos="900"/>
          <w:tab w:val="num" w:pos="454"/>
          <w:tab w:val="num" w:pos="786"/>
        </w:tabs>
        <w:spacing w:after="0" w:line="240" w:lineRule="auto"/>
        <w:ind w:left="786"/>
        <w:jc w:val="both"/>
        <w:rPr>
          <w:rFonts w:ascii="Tahoma" w:hAnsi="Tahoma" w:cs="Tahoma"/>
          <w:sz w:val="20"/>
          <w:szCs w:val="20"/>
          <w:lang w:val="es-MX"/>
        </w:rPr>
      </w:pPr>
      <w:r w:rsidRPr="002E2EE2">
        <w:rPr>
          <w:rFonts w:ascii="Tahoma" w:hAnsi="Tahoma" w:cs="Tahoma"/>
          <w:sz w:val="20"/>
          <w:szCs w:val="20"/>
        </w:rPr>
        <w:t xml:space="preserve">Asimismo, de acuerdo con el </w:t>
      </w:r>
      <w:r w:rsidRPr="002E2EE2">
        <w:rPr>
          <w:rFonts w:ascii="Tahoma" w:hAnsi="Tahoma" w:cs="Tahoma"/>
          <w:i/>
          <w:iCs/>
          <w:sz w:val="20"/>
          <w:szCs w:val="20"/>
        </w:rPr>
        <w:t>principio de irrectroactividad</w:t>
      </w:r>
      <w:r w:rsidRPr="002E2EE2">
        <w:rPr>
          <w:rFonts w:ascii="Tahoma" w:hAnsi="Tahoma" w:cs="Tahoma"/>
          <w:sz w:val="20"/>
          <w:szCs w:val="20"/>
        </w:rPr>
        <w:t xml:space="preserve"> consagrada en el inciso 5) del artículo 230 de la Ley 27444, Ley de Procedimiento Administrativo General, son aplicables las disposiciones sancionatorias vigentes al momento en que el administrado hubiera incurrido en la conducta a sancionar</w:t>
      </w:r>
      <w:r w:rsidRPr="002E2EE2">
        <w:rPr>
          <w:rStyle w:val="Refdenotaalpie"/>
          <w:rFonts w:ascii="Tahoma" w:hAnsi="Tahoma" w:cs="Tahoma"/>
          <w:sz w:val="20"/>
          <w:szCs w:val="20"/>
        </w:rPr>
        <w:footnoteReference w:id="3"/>
      </w:r>
      <w:r w:rsidRPr="002E2EE2">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2E2EE2" w:rsidRPr="002E2EE2" w:rsidRDefault="002E2EE2" w:rsidP="002E2EE2">
      <w:pPr>
        <w:tabs>
          <w:tab w:val="num" w:pos="900"/>
        </w:tabs>
        <w:spacing w:after="0" w:line="240" w:lineRule="auto"/>
        <w:ind w:left="786"/>
        <w:jc w:val="both"/>
        <w:rPr>
          <w:rFonts w:ascii="Tahoma" w:hAnsi="Tahoma" w:cs="Tahoma"/>
          <w:sz w:val="20"/>
          <w:szCs w:val="20"/>
          <w:lang w:val="es-MX"/>
        </w:rPr>
      </w:pPr>
    </w:p>
    <w:p w:rsidR="002E2EE2" w:rsidRPr="002E2EE2" w:rsidRDefault="002E2EE2" w:rsidP="002E2EE2">
      <w:pPr>
        <w:numPr>
          <w:ilvl w:val="0"/>
          <w:numId w:val="3"/>
        </w:numPr>
        <w:tabs>
          <w:tab w:val="clear" w:pos="900"/>
          <w:tab w:val="num" w:pos="454"/>
          <w:tab w:val="num" w:pos="786"/>
        </w:tabs>
        <w:spacing w:after="0" w:line="240" w:lineRule="auto"/>
        <w:ind w:left="786"/>
        <w:jc w:val="both"/>
        <w:rPr>
          <w:rFonts w:ascii="Tahoma" w:hAnsi="Tahoma" w:cs="Tahoma"/>
          <w:sz w:val="20"/>
          <w:szCs w:val="20"/>
          <w:lang w:val="es-MX"/>
        </w:rPr>
      </w:pPr>
      <w:r w:rsidRPr="002E2EE2">
        <w:rPr>
          <w:rFonts w:ascii="Tahoma" w:hAnsi="Tahoma" w:cs="Tahoma"/>
          <w:sz w:val="20"/>
          <w:szCs w:val="20"/>
        </w:rPr>
        <w:t>Al respecto, la infracción imputada al Proveedor corresponde a la señalada en el numeral 10) del artículo 294 del Reglamento.</w:t>
      </w:r>
    </w:p>
    <w:p w:rsidR="002E2EE2" w:rsidRDefault="002E2EE2" w:rsidP="002E2EE2">
      <w:pPr>
        <w:tabs>
          <w:tab w:val="num" w:pos="900"/>
        </w:tabs>
        <w:spacing w:after="0" w:line="240" w:lineRule="auto"/>
        <w:ind w:left="786"/>
        <w:jc w:val="both"/>
        <w:rPr>
          <w:rFonts w:ascii="Tahoma" w:hAnsi="Tahoma" w:cs="Tahoma"/>
          <w:sz w:val="20"/>
          <w:szCs w:val="20"/>
          <w:lang w:val="es-MX"/>
        </w:rPr>
      </w:pPr>
    </w:p>
    <w:p w:rsidR="002E2EE2" w:rsidRPr="002E2EE2" w:rsidRDefault="002E2EE2" w:rsidP="002E2EE2">
      <w:pPr>
        <w:numPr>
          <w:ilvl w:val="0"/>
          <w:numId w:val="3"/>
        </w:numPr>
        <w:tabs>
          <w:tab w:val="clear" w:pos="900"/>
          <w:tab w:val="num" w:pos="454"/>
          <w:tab w:val="num" w:pos="786"/>
        </w:tabs>
        <w:spacing w:after="0" w:line="240" w:lineRule="auto"/>
        <w:ind w:left="786"/>
        <w:jc w:val="both"/>
        <w:rPr>
          <w:rFonts w:ascii="Tahoma" w:hAnsi="Tahoma" w:cs="Tahoma"/>
          <w:sz w:val="20"/>
          <w:szCs w:val="20"/>
          <w:lang w:val="es-MX"/>
        </w:rPr>
      </w:pPr>
      <w:r w:rsidRPr="002E2EE2">
        <w:rPr>
          <w:rFonts w:ascii="Tahoma" w:hAnsi="Tahoma" w:cs="Tahoma"/>
          <w:sz w:val="20"/>
          <w:szCs w:val="20"/>
          <w:lang w:val="es-MX"/>
        </w:rPr>
        <w:t xml:space="preserve">Para </w:t>
      </w:r>
      <w:r w:rsidRPr="002E2EE2">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w:t>
      </w:r>
      <w:r w:rsidRPr="002E2EE2">
        <w:rPr>
          <w:rFonts w:ascii="Tahoma" w:hAnsi="Tahoma" w:cs="Tahoma"/>
          <w:sz w:val="20"/>
          <w:szCs w:val="20"/>
        </w:rPr>
        <w:lastRenderedPageBreak/>
        <w:t xml:space="preserve">Registro Nacional de Proveedores, ocasionando el  quebrantamiento de los </w:t>
      </w:r>
      <w:r w:rsidRPr="002E2EE2">
        <w:rPr>
          <w:rFonts w:ascii="Tahoma" w:hAnsi="Tahoma" w:cs="Tahoma"/>
          <w:i/>
          <w:iCs/>
          <w:sz w:val="20"/>
          <w:szCs w:val="20"/>
        </w:rPr>
        <w:t>Principios de Moralidad</w:t>
      </w:r>
      <w:r w:rsidRPr="002E2EE2">
        <w:rPr>
          <w:rFonts w:ascii="Tahoma" w:hAnsi="Tahoma" w:cs="Tahoma"/>
          <w:sz w:val="20"/>
          <w:szCs w:val="20"/>
        </w:rPr>
        <w:t xml:space="preserve"> y de </w:t>
      </w:r>
      <w:r w:rsidRPr="002E2EE2">
        <w:rPr>
          <w:rFonts w:ascii="Tahoma" w:hAnsi="Tahoma" w:cs="Tahoma"/>
          <w:i/>
          <w:iCs/>
          <w:sz w:val="20"/>
          <w:szCs w:val="20"/>
        </w:rPr>
        <w:t>Presunción de Veracidad</w:t>
      </w:r>
      <w:r w:rsidRPr="002E2EE2">
        <w:rPr>
          <w:rFonts w:ascii="Tahoma" w:hAnsi="Tahoma" w:cs="Tahoma"/>
          <w:sz w:val="20"/>
          <w:szCs w:val="20"/>
        </w:rPr>
        <w:t>, de conformidad con lo establecido en el inciso 1) del artículo 3 del Texto Único Ordenado de la Ley de Contrataciones y Adquisiciones del Estado, aprobado por Decreto Supremo N.° 083-2004-PCM, en lo sucesivo la Ley, en concordancia con lo dispuesto en el numeral 1.7 del Artículo IV del Título Preliminar y el numeral 42.1 del artículo 42 de la Ley del Procedimiento Administrativo General, Ley N° 27444.</w:t>
      </w:r>
    </w:p>
    <w:p w:rsidR="002E2EE2" w:rsidRPr="002E2EE2" w:rsidRDefault="002E2EE2" w:rsidP="002E2EE2">
      <w:pPr>
        <w:pStyle w:val="Prrafodelista1"/>
        <w:rPr>
          <w:rFonts w:ascii="Tahoma" w:hAnsi="Tahoma" w:cs="Tahoma"/>
          <w:sz w:val="20"/>
          <w:szCs w:val="20"/>
        </w:rPr>
      </w:pPr>
    </w:p>
    <w:p w:rsidR="002E2EE2" w:rsidRPr="002E2EE2" w:rsidRDefault="002E2EE2" w:rsidP="002E2EE2">
      <w:pPr>
        <w:pStyle w:val="Prrafodelista1"/>
        <w:ind w:left="900"/>
        <w:rPr>
          <w:rFonts w:ascii="Tahoma" w:hAnsi="Tahoma" w:cs="Tahoma"/>
          <w:b/>
          <w:bCs/>
          <w:sz w:val="20"/>
          <w:szCs w:val="20"/>
          <w:u w:val="single"/>
        </w:rPr>
      </w:pPr>
      <w:r w:rsidRPr="002E2EE2">
        <w:rPr>
          <w:rFonts w:ascii="Tahoma" w:hAnsi="Tahoma" w:cs="Tahoma"/>
          <w:b/>
          <w:bCs/>
          <w:sz w:val="20"/>
          <w:szCs w:val="20"/>
          <w:u w:val="single"/>
        </w:rPr>
        <w:t xml:space="preserve">Análisis de los Hechos </w:t>
      </w:r>
    </w:p>
    <w:p w:rsidR="002E2EE2" w:rsidRPr="002E2EE2" w:rsidRDefault="002E2EE2" w:rsidP="002E2EE2">
      <w:pPr>
        <w:pStyle w:val="Prrafodelista1"/>
        <w:ind w:left="900"/>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En el caso que nos ocupa, la imputación contra el Proveedor se refiere a la supuesta falsedad de la </w:t>
      </w:r>
      <w:r w:rsidRPr="002E2EE2">
        <w:rPr>
          <w:rFonts w:ascii="Tahoma" w:hAnsi="Tahoma" w:cs="Tahoma"/>
          <w:sz w:val="20"/>
          <w:szCs w:val="20"/>
          <w:lang w:val="es-PE"/>
        </w:rPr>
        <w:t>Licencia de Apertura- Registro Nº 182-S de fecha 10 de octubre de 2007 emitido por la Municipalidad Provincial de Huamanga</w:t>
      </w:r>
      <w:r w:rsidRPr="002E2EE2">
        <w:rPr>
          <w:rFonts w:ascii="Tahoma" w:hAnsi="Tahoma" w:cs="Tahoma"/>
          <w:sz w:val="20"/>
          <w:szCs w:val="20"/>
        </w:rPr>
        <w:t>.</w:t>
      </w:r>
    </w:p>
    <w:p w:rsidR="002E2EE2" w:rsidRDefault="002E2EE2" w:rsidP="002E2EE2">
      <w:pPr>
        <w:spacing w:after="0" w:line="240" w:lineRule="auto"/>
        <w:ind w:left="786"/>
        <w:jc w:val="both"/>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En aplicación del </w:t>
      </w:r>
      <w:r w:rsidRPr="002E2EE2">
        <w:rPr>
          <w:rFonts w:ascii="Tahoma" w:hAnsi="Tahoma" w:cs="Tahoma"/>
          <w:i/>
          <w:iCs/>
          <w:sz w:val="20"/>
          <w:szCs w:val="20"/>
        </w:rPr>
        <w:t xml:space="preserve">Principio de Privilegio de Controles Posteriores, </w:t>
      </w:r>
      <w:r w:rsidRPr="002E2EE2">
        <w:rPr>
          <w:rFonts w:ascii="Tahoma" w:hAnsi="Tahoma" w:cs="Tahoma"/>
          <w:sz w:val="20"/>
          <w:szCs w:val="20"/>
        </w:rPr>
        <w:t>contemplado en el numeral 1.16 del Artículo IV del Título Preliminar de la Ley N° 27444</w:t>
      </w:r>
      <w:r w:rsidRPr="002E2EE2">
        <w:rPr>
          <w:rStyle w:val="Refdenotaalpie"/>
          <w:rFonts w:ascii="Tahoma" w:hAnsi="Tahoma" w:cs="Tahoma"/>
          <w:sz w:val="20"/>
          <w:szCs w:val="20"/>
        </w:rPr>
        <w:footnoteReference w:id="4"/>
      </w:r>
      <w:r w:rsidRPr="002E2EE2">
        <w:rPr>
          <w:rFonts w:ascii="Tahoma" w:hAnsi="Tahoma" w:cs="Tahoma"/>
          <w:sz w:val="20"/>
          <w:szCs w:val="20"/>
        </w:rPr>
        <w:t xml:space="preserve">,  la Entidad solicitó mediante Oficio Nº 915-2009-OSCE-DSFE/SF. DT de fecha 15 de abril de 2009, a la Municipalidad Provincial de Huamanga,  brinde su conformidad a los datos consignados en la </w:t>
      </w:r>
      <w:r w:rsidRPr="002E2EE2">
        <w:rPr>
          <w:rFonts w:ascii="Tahoma" w:hAnsi="Tahoma" w:cs="Tahoma"/>
          <w:sz w:val="20"/>
          <w:szCs w:val="20"/>
          <w:lang w:val="es-PE"/>
        </w:rPr>
        <w:t>Licencia de Apertura- Registro Nº 182-S de fecha 10 de octubre de 2007, emitido por la Municipalidad Provincial de Huamanga</w:t>
      </w:r>
      <w:r w:rsidRPr="002E2EE2">
        <w:rPr>
          <w:rFonts w:ascii="Tahoma" w:hAnsi="Tahoma" w:cs="Tahoma"/>
          <w:sz w:val="20"/>
          <w:szCs w:val="20"/>
        </w:rPr>
        <w:t>, presentada por el Proveedor.</w:t>
      </w:r>
    </w:p>
    <w:p w:rsidR="002E2EE2" w:rsidRPr="002E2EE2" w:rsidRDefault="002E2EE2" w:rsidP="002E2EE2">
      <w:pPr>
        <w:pStyle w:val="Prrafodelista"/>
        <w:rPr>
          <w:rFonts w:ascii="Tahoma" w:hAnsi="Tahoma" w:cs="Tahoma"/>
          <w:sz w:val="20"/>
        </w:rPr>
      </w:pPr>
    </w:p>
    <w:p w:rsidR="002E2EE2" w:rsidRPr="002E2EE2" w:rsidRDefault="002E2EE2" w:rsidP="002E2EE2">
      <w:pPr>
        <w:numPr>
          <w:ilvl w:val="0"/>
          <w:numId w:val="3"/>
        </w:numPr>
        <w:tabs>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En atención a dicho requerimiento, con Oficio Nº 194-2009-MPH/12.49 de fecha 15 de mayo de 2009, recibido el 18 del mismo mes y año, la Municipalidad Provincial de Huamanga adjuntó el Informe Nº 014-2009-MPH-SGDE-AL/S en los siguientes términos: </w:t>
      </w:r>
      <w:r w:rsidRPr="002E2EE2">
        <w:rPr>
          <w:rFonts w:ascii="Tahoma" w:hAnsi="Tahoma" w:cs="Tahoma"/>
          <w:i/>
          <w:iCs/>
          <w:sz w:val="20"/>
          <w:szCs w:val="20"/>
        </w:rPr>
        <w:t>“(…) Las licencias de apertura fueron expedidas por la Municipalidad Provincial de huamanga hasta el 04 de setiembre de 2007 y en cumplimiento a la Ley marco de Licencia de Funcionamiento Ley Nº 28976, a partir del 05 de octubre de 2007 se emitieron licencias de funcionamiento y no licencias de apertura, sin embargo la licencia de apertura presentada por el Proveedor fue de fecha 10 de octubre de 2007, cuando ya se había dejado de expedir dichos documentos. (…) Según la Licencia de Apertura presentada, se advierte que el trámite para la expedición de dicho acto administrativo se inició con el expediente Nº 00666-2007, sin embargo, previa verificación de la hoja de remisión y cargo del área de trámite documentario, se aprecia que el expediente  con Nº 00666 de fecha 12 de enero de 2007 ha sido presentado por el Sr. Marcelino M. Lozano, solicitando reconsideración.”</w:t>
      </w:r>
    </w:p>
    <w:p w:rsidR="002E2EE2" w:rsidRPr="002E2EE2" w:rsidRDefault="002E2EE2" w:rsidP="002E2EE2">
      <w:pPr>
        <w:pStyle w:val="Prrafodelista"/>
        <w:rPr>
          <w:rFonts w:ascii="Tahoma" w:hAnsi="Tahoma" w:cs="Tahoma"/>
          <w:sz w:val="20"/>
          <w:highlight w:val="yellow"/>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Dicha aseveración emitida por el supuesto emisor, permite constatar que los datos consignados en la </w:t>
      </w:r>
      <w:r w:rsidRPr="002E2EE2">
        <w:rPr>
          <w:rFonts w:ascii="Tahoma" w:hAnsi="Tahoma" w:cs="Tahoma"/>
          <w:sz w:val="20"/>
          <w:szCs w:val="20"/>
          <w:lang w:val="es-PE"/>
        </w:rPr>
        <w:t>Licencia de Apertura- Registro Nº 182-S de fecha 10 de octubre de 2007</w:t>
      </w:r>
      <w:r w:rsidRPr="002E2EE2">
        <w:rPr>
          <w:rFonts w:ascii="Tahoma" w:hAnsi="Tahoma" w:cs="Tahoma"/>
          <w:sz w:val="20"/>
          <w:szCs w:val="20"/>
        </w:rPr>
        <w:t>, son falsos, pues el Registro Nº 00666-2007, obrante en el documento cuestionado, le corresponde al recurso de reconsideración presentado por el administrado Sr. Marcelino M. Lozano; y, adicionalmente, en la fecha que supuestamente se habría expedido la Licencia de Apertura (10.10.2007) no se emitía dicho certificado, sino que los documentos  otorgados correspondían a Licencias de Funcionamiento</w:t>
      </w:r>
      <w:r w:rsidRPr="002E2EE2">
        <w:rPr>
          <w:rFonts w:ascii="Tahoma" w:hAnsi="Tahoma" w:cs="Tahoma"/>
          <w:i/>
          <w:iCs/>
          <w:sz w:val="20"/>
          <w:szCs w:val="20"/>
        </w:rPr>
        <w:t>,</w:t>
      </w:r>
      <w:r w:rsidRPr="002E2EE2">
        <w:rPr>
          <w:rFonts w:ascii="Tahoma" w:hAnsi="Tahoma" w:cs="Tahoma"/>
          <w:sz w:val="20"/>
          <w:szCs w:val="20"/>
        </w:rPr>
        <w:t xml:space="preserve"> hechos que constituye prueba suficiente que permite desvirtuar el </w:t>
      </w:r>
      <w:r w:rsidRPr="002E2EE2">
        <w:rPr>
          <w:rFonts w:ascii="Tahoma" w:hAnsi="Tahoma" w:cs="Tahoma"/>
          <w:sz w:val="20"/>
          <w:szCs w:val="20"/>
        </w:rPr>
        <w:lastRenderedPageBreak/>
        <w:t>principio de Presunción de Veracidad que rige a los procedimientos administrativos, criterio que ha sido adoptado en reiterados pronunciamientos de este Tribunal.</w:t>
      </w:r>
    </w:p>
    <w:p w:rsidR="002E2EE2" w:rsidRDefault="002E2EE2" w:rsidP="002E2EE2">
      <w:pPr>
        <w:spacing w:after="0" w:line="240" w:lineRule="auto"/>
        <w:ind w:left="786"/>
        <w:jc w:val="both"/>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Respecto a la infracción configurada como sancionable, el Proveedor no ha presentado argumento de defensa alguno que desvirtúe su responsabilidad, a pesar de haber sido debidamente notificado mediante Cédula de Notificación Nº 3806/2010.TC el 26 de febrero de 2011.</w:t>
      </w:r>
    </w:p>
    <w:p w:rsidR="002E2EE2" w:rsidRPr="002E2EE2" w:rsidRDefault="002E2EE2" w:rsidP="002E2EE2">
      <w:pPr>
        <w:pStyle w:val="Prrafodelista"/>
        <w:rPr>
          <w:rFonts w:ascii="Tahoma" w:hAnsi="Tahoma" w:cs="Tahoma"/>
          <w:sz w:val="20"/>
          <w:highlight w:val="yellow"/>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De lo señalado con anterioridad, se puede concluir que el Proveedor presentó documento falso, a efectos de formalizar su trámite de renovación de inscripción como proveedor de bienes y servicios ante el Registro Nacional de Proveedores, tal como se ha podido </w:t>
      </w:r>
      <w:r w:rsidRPr="002E2EE2">
        <w:rPr>
          <w:rFonts w:ascii="Tahoma" w:hAnsi="Tahoma" w:cs="Tahoma"/>
          <w:sz w:val="20"/>
          <w:szCs w:val="20"/>
          <w:u w:val="single"/>
        </w:rPr>
        <w:t>constatar de la información proporcionada por la Entidad Edil</w:t>
      </w:r>
      <w:r w:rsidRPr="002E2EE2">
        <w:rPr>
          <w:rFonts w:ascii="Tahoma" w:hAnsi="Tahoma" w:cs="Tahoma"/>
          <w:sz w:val="20"/>
          <w:szCs w:val="20"/>
        </w:rPr>
        <w:t xml:space="preserve">; con lo cual, queda evidenciado, de todo lo anteriormente expresado, la </w:t>
      </w:r>
      <w:r w:rsidRPr="002E2EE2">
        <w:rPr>
          <w:rFonts w:ascii="Tahoma" w:hAnsi="Tahoma" w:cs="Tahoma"/>
          <w:i/>
          <w:iCs/>
          <w:sz w:val="20"/>
          <w:szCs w:val="20"/>
        </w:rPr>
        <w:t>trasgresión al Principio de Presunción de Veracidad</w:t>
      </w:r>
      <w:r w:rsidRPr="002E2EE2">
        <w:rPr>
          <w:rFonts w:ascii="Tahoma" w:hAnsi="Tahoma" w:cs="Tahoma"/>
          <w:sz w:val="20"/>
          <w:szCs w:val="20"/>
        </w:rPr>
        <w:t xml:space="preserve"> en la que incurrió la empresa proveedora.</w:t>
      </w:r>
    </w:p>
    <w:p w:rsidR="002E2EE2" w:rsidRPr="002E2EE2" w:rsidRDefault="002E2EE2" w:rsidP="002E2EE2">
      <w:pPr>
        <w:pStyle w:val="Prrafodelista"/>
        <w:rPr>
          <w:rFonts w:ascii="Tahoma" w:hAnsi="Tahoma" w:cs="Tahoma"/>
          <w:sz w:val="20"/>
          <w:highlight w:val="yellow"/>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 xml:space="preserve">Finalmente, cabe señalar que si bien es cierto que la Licencia de Apertura, objeto de cuestionamiento no es un requisito establecido en el TUPA del CONSUCODE (actualmente OSCE) para el trámite de inscripción ante el Registro Nacional de Proveedores; sin embargo, ello no obsta para que sea objeto de </w:t>
      </w:r>
      <w:r w:rsidRPr="002E2EE2">
        <w:rPr>
          <w:rFonts w:ascii="Tahoma" w:hAnsi="Tahoma" w:cs="Tahoma"/>
          <w:i/>
          <w:iCs/>
          <w:sz w:val="20"/>
          <w:szCs w:val="20"/>
        </w:rPr>
        <w:t>fiscalización posterior</w:t>
      </w:r>
      <w:r w:rsidRPr="002E2EE2">
        <w:rPr>
          <w:rFonts w:ascii="Tahoma" w:hAnsi="Tahoma" w:cs="Tahoma"/>
          <w:sz w:val="20"/>
          <w:szCs w:val="20"/>
        </w:rPr>
        <w:t xml:space="preserve"> al estar de por medio el interés público, toda vez que la empresa denunciada suscribió el formulario oficial </w:t>
      </w:r>
      <w:r w:rsidRPr="002E2EE2">
        <w:rPr>
          <w:rFonts w:ascii="Tahoma" w:hAnsi="Tahoma" w:cs="Tahoma"/>
          <w:i/>
          <w:iCs/>
          <w:sz w:val="20"/>
          <w:szCs w:val="20"/>
        </w:rPr>
        <w:t>- Declaración Jurada de Veracidad de Documentos de Información y Declaración Presentada</w:t>
      </w:r>
      <w:r w:rsidRPr="002E2EE2">
        <w:rPr>
          <w:rFonts w:ascii="Tahoma" w:hAnsi="Tahoma" w:cs="Tahoma"/>
          <w:sz w:val="20"/>
          <w:szCs w:val="20"/>
        </w:rPr>
        <w:t xml:space="preserve"> - en la cual manifestó que toda la información proporcionada era veraz, que los documentos presentados eran auténticos, que conocían las sanciones aplicables y que, en caso se comprobase que lo expresado en dicha declaración jurada no se ajustaba a la verdad, asumía la responsabilidad respectiva.  (lo resaltado es nuestro)</w:t>
      </w:r>
    </w:p>
    <w:p w:rsidR="002E2EE2" w:rsidRPr="002E2EE2" w:rsidRDefault="002E2EE2" w:rsidP="002E2EE2">
      <w:pPr>
        <w:pStyle w:val="Prrafodelista"/>
        <w:rPr>
          <w:rFonts w:ascii="Tahoma" w:hAnsi="Tahoma" w:cs="Tahoma"/>
          <w:sz w:val="20"/>
          <w:highlight w:val="yellow"/>
        </w:rPr>
      </w:pPr>
    </w:p>
    <w:p w:rsidR="002E2EE2" w:rsidRPr="002E2EE2" w:rsidRDefault="002E2EE2" w:rsidP="002E2EE2">
      <w:pPr>
        <w:numPr>
          <w:ilvl w:val="0"/>
          <w:numId w:val="3"/>
        </w:numPr>
        <w:tabs>
          <w:tab w:val="clear" w:pos="900"/>
          <w:tab w:val="num" w:pos="786"/>
        </w:tabs>
        <w:spacing w:after="0" w:line="240" w:lineRule="auto"/>
        <w:ind w:left="786"/>
        <w:jc w:val="both"/>
        <w:rPr>
          <w:rFonts w:ascii="Tahoma" w:hAnsi="Tahoma" w:cs="Tahoma"/>
          <w:sz w:val="20"/>
          <w:szCs w:val="20"/>
        </w:rPr>
      </w:pPr>
      <w:r w:rsidRPr="002E2EE2">
        <w:rPr>
          <w:rFonts w:ascii="Tahoma" w:hAnsi="Tahoma" w:cs="Tahoma"/>
          <w:sz w:val="20"/>
          <w:szCs w:val="20"/>
        </w:rPr>
        <w:t>Teniendo en cuenta las consideraciones expuestas, corresponde imponer sanción administrativa al Proveedor, al haber  incurrido en la causal de infracción tipificada en el numeral 10) del artículo 294 del Reglamento.</w:t>
      </w:r>
    </w:p>
    <w:p w:rsidR="002E2EE2" w:rsidRDefault="002E2EE2" w:rsidP="002E2EE2">
      <w:pPr>
        <w:jc w:val="both"/>
        <w:rPr>
          <w:rFonts w:ascii="Tahoma" w:hAnsi="Tahoma" w:cs="Tahoma"/>
          <w:b/>
          <w:bCs/>
          <w:sz w:val="20"/>
          <w:szCs w:val="20"/>
          <w:u w:val="single"/>
        </w:rPr>
      </w:pPr>
    </w:p>
    <w:p w:rsidR="002E2EE2" w:rsidRPr="002E2EE2" w:rsidRDefault="002E2EE2" w:rsidP="002E2EE2">
      <w:pPr>
        <w:jc w:val="both"/>
        <w:rPr>
          <w:rFonts w:ascii="Tahoma" w:hAnsi="Tahoma" w:cs="Tahoma"/>
          <w:sz w:val="20"/>
          <w:szCs w:val="20"/>
        </w:rPr>
      </w:pPr>
      <w:r w:rsidRPr="002E2EE2">
        <w:rPr>
          <w:rFonts w:ascii="Tahoma" w:hAnsi="Tahoma" w:cs="Tahoma"/>
          <w:b/>
          <w:bCs/>
          <w:sz w:val="20"/>
          <w:szCs w:val="20"/>
          <w:u w:val="single"/>
        </w:rPr>
        <w:t>Respecto de la Sanción imponible</w:t>
      </w:r>
      <w:r w:rsidRPr="002E2EE2">
        <w:rPr>
          <w:rFonts w:ascii="Tahoma" w:hAnsi="Tahoma" w:cs="Tahoma"/>
          <w:sz w:val="20"/>
          <w:szCs w:val="20"/>
        </w:rPr>
        <w:t>.</w:t>
      </w:r>
    </w:p>
    <w:p w:rsidR="002E2EE2" w:rsidRPr="002E2EE2" w:rsidRDefault="002E2EE2" w:rsidP="002E2EE2">
      <w:pPr>
        <w:numPr>
          <w:ilvl w:val="0"/>
          <w:numId w:val="3"/>
        </w:numPr>
        <w:tabs>
          <w:tab w:val="clear" w:pos="900"/>
          <w:tab w:val="num" w:pos="786"/>
          <w:tab w:val="left" w:pos="1080"/>
        </w:tabs>
        <w:spacing w:after="0" w:line="240" w:lineRule="auto"/>
        <w:ind w:left="786"/>
        <w:jc w:val="both"/>
        <w:rPr>
          <w:rFonts w:ascii="Tahoma" w:hAnsi="Tahoma" w:cs="Tahoma"/>
          <w:sz w:val="20"/>
          <w:szCs w:val="20"/>
        </w:rPr>
      </w:pPr>
      <w:r w:rsidRPr="002E2EE2">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2E2EE2" w:rsidRDefault="002E2EE2" w:rsidP="002E2EE2">
      <w:pPr>
        <w:tabs>
          <w:tab w:val="left" w:pos="1080"/>
        </w:tabs>
        <w:spacing w:after="0" w:line="240" w:lineRule="auto"/>
        <w:ind w:left="786"/>
        <w:jc w:val="both"/>
        <w:rPr>
          <w:rFonts w:ascii="Tahoma" w:hAnsi="Tahoma" w:cs="Tahoma"/>
          <w:sz w:val="20"/>
          <w:szCs w:val="20"/>
        </w:rPr>
      </w:pPr>
    </w:p>
    <w:p w:rsidR="002E2EE2" w:rsidRPr="002E2EE2" w:rsidRDefault="002E2EE2" w:rsidP="002E2EE2">
      <w:pPr>
        <w:numPr>
          <w:ilvl w:val="0"/>
          <w:numId w:val="3"/>
        </w:numPr>
        <w:tabs>
          <w:tab w:val="clear" w:pos="900"/>
          <w:tab w:val="num" w:pos="786"/>
          <w:tab w:val="left" w:pos="1080"/>
        </w:tabs>
        <w:spacing w:after="0" w:line="240" w:lineRule="auto"/>
        <w:ind w:left="786"/>
        <w:jc w:val="both"/>
        <w:rPr>
          <w:rFonts w:ascii="Tahoma" w:hAnsi="Tahoma" w:cs="Tahoma"/>
          <w:sz w:val="20"/>
          <w:szCs w:val="20"/>
        </w:rPr>
      </w:pPr>
      <w:r w:rsidRPr="002E2EE2">
        <w:rPr>
          <w:rFonts w:ascii="Tahoma" w:hAnsi="Tahoma" w:cs="Tahoma"/>
          <w:sz w:val="20"/>
          <w:szCs w:val="20"/>
        </w:rPr>
        <w:t xml:space="preserve"> 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2E2EE2" w:rsidRPr="002E2EE2" w:rsidRDefault="002E2EE2" w:rsidP="002E2EE2">
      <w:pPr>
        <w:jc w:val="both"/>
        <w:rPr>
          <w:rFonts w:ascii="Tahoma" w:hAnsi="Tahoma" w:cs="Tahoma"/>
          <w:sz w:val="20"/>
          <w:szCs w:val="20"/>
        </w:rPr>
      </w:pPr>
    </w:p>
    <w:p w:rsidR="002E2EE2" w:rsidRPr="002E2EE2" w:rsidRDefault="002E2EE2" w:rsidP="002E2EE2">
      <w:pPr>
        <w:pStyle w:val="Prrafodelista1"/>
        <w:numPr>
          <w:ilvl w:val="0"/>
          <w:numId w:val="4"/>
        </w:numPr>
        <w:jc w:val="both"/>
        <w:rPr>
          <w:rFonts w:ascii="Tahoma" w:hAnsi="Tahoma" w:cs="Tahoma"/>
          <w:sz w:val="20"/>
          <w:szCs w:val="20"/>
        </w:rPr>
      </w:pPr>
      <w:r w:rsidRPr="002E2EE2">
        <w:rPr>
          <w:rFonts w:ascii="Tahoma" w:hAnsi="Tahoma" w:cs="Tahoma"/>
          <w:sz w:val="20"/>
          <w:szCs w:val="20"/>
        </w:rPr>
        <w:t xml:space="preserve">La infracción cometida reviste una considerable gravedad, debido a que vulnera el </w:t>
      </w:r>
      <w:r w:rsidRPr="002E2EE2">
        <w:rPr>
          <w:rFonts w:ascii="Tahoma" w:hAnsi="Tahoma" w:cs="Tahoma"/>
          <w:i/>
          <w:iCs/>
          <w:sz w:val="20"/>
          <w:szCs w:val="20"/>
        </w:rPr>
        <w:t xml:space="preserve">Principio de Moralidad </w:t>
      </w:r>
      <w:r w:rsidRPr="002E2EE2">
        <w:rPr>
          <w:rFonts w:ascii="Tahoma" w:hAnsi="Tahoma" w:cs="Tahoma"/>
          <w:sz w:val="20"/>
          <w:szCs w:val="20"/>
        </w:rPr>
        <w:t xml:space="preserve">que debe regir a todos los actos vinculados a las contrataciones públicas. Por lo demás, dicho principio, junto a la </w:t>
      </w:r>
      <w:r w:rsidRPr="002E2EE2">
        <w:rPr>
          <w:rFonts w:ascii="Tahoma" w:hAnsi="Tahoma" w:cs="Tahoma"/>
          <w:i/>
          <w:iCs/>
          <w:sz w:val="20"/>
          <w:szCs w:val="20"/>
        </w:rPr>
        <w:t>fe pública</w:t>
      </w:r>
      <w:r w:rsidRPr="002E2EE2">
        <w:rPr>
          <w:rFonts w:ascii="Tahoma" w:hAnsi="Tahoma" w:cs="Tahoma"/>
          <w:sz w:val="20"/>
          <w:szCs w:val="20"/>
        </w:rPr>
        <w:t xml:space="preserve">, constituyen bienes jurídicos merecedores de protección especial, pues constituyen </w:t>
      </w:r>
      <w:r w:rsidRPr="002E2EE2">
        <w:rPr>
          <w:rFonts w:ascii="Tahoma" w:hAnsi="Tahoma" w:cs="Tahoma"/>
          <w:sz w:val="20"/>
          <w:szCs w:val="20"/>
        </w:rPr>
        <w:lastRenderedPageBreak/>
        <w:t>los pilares de las relaciones suscitadas entre la Administración Pública y los administrados.</w:t>
      </w:r>
    </w:p>
    <w:p w:rsidR="002E2EE2" w:rsidRPr="002E2EE2" w:rsidRDefault="002E2EE2" w:rsidP="002E2EE2">
      <w:pPr>
        <w:pStyle w:val="Prrafodelista1"/>
        <w:ind w:left="1080"/>
        <w:rPr>
          <w:rFonts w:ascii="Tahoma" w:hAnsi="Tahoma" w:cs="Tahoma"/>
          <w:sz w:val="20"/>
          <w:szCs w:val="20"/>
        </w:rPr>
      </w:pPr>
    </w:p>
    <w:p w:rsidR="002E2EE2" w:rsidRPr="002E2EE2" w:rsidRDefault="002E2EE2" w:rsidP="002E2EE2">
      <w:pPr>
        <w:pStyle w:val="Prrafodelista1"/>
        <w:numPr>
          <w:ilvl w:val="0"/>
          <w:numId w:val="4"/>
        </w:numPr>
        <w:jc w:val="both"/>
        <w:rPr>
          <w:rFonts w:ascii="Tahoma" w:hAnsi="Tahoma" w:cs="Tahoma"/>
          <w:sz w:val="20"/>
          <w:szCs w:val="20"/>
        </w:rPr>
      </w:pPr>
      <w:r w:rsidRPr="002E2EE2">
        <w:rPr>
          <w:rFonts w:ascii="Tahoma" w:hAnsi="Tahoma" w:cs="Tahoma"/>
          <w:sz w:val="20"/>
          <w:szCs w:val="20"/>
        </w:rPr>
        <w:t xml:space="preserve">La falsedad del mencionado documento presentado por el Proveedor en su  trámite de renovación de inscripción como proveedor de bienes y servicios ante el Registro Nacional de Proveedores, ha  sido fehacientemente </w:t>
      </w:r>
      <w:r w:rsidRPr="002E2EE2">
        <w:rPr>
          <w:rFonts w:ascii="Tahoma" w:hAnsi="Tahoma" w:cs="Tahoma"/>
          <w:color w:val="000000"/>
          <w:sz w:val="20"/>
          <w:szCs w:val="20"/>
        </w:rPr>
        <w:t>acreditada por la Entidad y por este Colegiado.</w:t>
      </w:r>
    </w:p>
    <w:p w:rsidR="002E2EE2" w:rsidRPr="002E2EE2" w:rsidRDefault="002E2EE2" w:rsidP="002E2EE2">
      <w:pPr>
        <w:pStyle w:val="Prrafodelista1"/>
        <w:rPr>
          <w:rFonts w:ascii="Tahoma" w:hAnsi="Tahoma" w:cs="Tahoma"/>
          <w:sz w:val="20"/>
          <w:szCs w:val="20"/>
        </w:rPr>
      </w:pPr>
    </w:p>
    <w:p w:rsidR="002E2EE2" w:rsidRPr="002E2EE2" w:rsidRDefault="002E2EE2" w:rsidP="002E2EE2">
      <w:pPr>
        <w:pStyle w:val="Prrafodelista1"/>
        <w:numPr>
          <w:ilvl w:val="0"/>
          <w:numId w:val="4"/>
        </w:numPr>
        <w:jc w:val="both"/>
        <w:rPr>
          <w:rFonts w:ascii="Tahoma" w:hAnsi="Tahoma" w:cs="Tahoma"/>
          <w:sz w:val="20"/>
          <w:szCs w:val="20"/>
        </w:rPr>
      </w:pPr>
      <w:r w:rsidRPr="002E2EE2">
        <w:rPr>
          <w:rFonts w:ascii="Tahoma" w:hAnsi="Tahoma" w:cs="Tahoma"/>
          <w:sz w:val="20"/>
          <w:szCs w:val="20"/>
        </w:rPr>
        <w:t>Así, también debe evaluarse la conducta adoptada por el Proveedor a lo largo del procedimiento, quién  no ha presentado sus descargos.</w:t>
      </w:r>
    </w:p>
    <w:p w:rsidR="002E2EE2" w:rsidRPr="002E2EE2" w:rsidRDefault="002E2EE2" w:rsidP="002E2EE2">
      <w:pPr>
        <w:pStyle w:val="Prrafodelista1"/>
        <w:rPr>
          <w:rFonts w:ascii="Tahoma" w:hAnsi="Tahoma" w:cs="Tahoma"/>
          <w:sz w:val="20"/>
          <w:szCs w:val="20"/>
        </w:rPr>
      </w:pPr>
    </w:p>
    <w:p w:rsidR="002E2EE2" w:rsidRPr="002E2EE2" w:rsidRDefault="002E2EE2" w:rsidP="002E2EE2">
      <w:pPr>
        <w:pStyle w:val="Prrafodelista1"/>
        <w:numPr>
          <w:ilvl w:val="0"/>
          <w:numId w:val="4"/>
        </w:numPr>
        <w:jc w:val="both"/>
        <w:rPr>
          <w:rFonts w:ascii="Tahoma" w:hAnsi="Tahoma" w:cs="Tahoma"/>
          <w:sz w:val="20"/>
          <w:szCs w:val="20"/>
        </w:rPr>
      </w:pPr>
      <w:r w:rsidRPr="002E2EE2">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2E2EE2" w:rsidRDefault="002E2EE2" w:rsidP="002E2EE2">
      <w:pPr>
        <w:spacing w:after="0" w:line="240" w:lineRule="auto"/>
        <w:ind w:left="851"/>
        <w:jc w:val="both"/>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851" w:hanging="491"/>
        <w:jc w:val="both"/>
        <w:rPr>
          <w:rFonts w:ascii="Tahoma" w:hAnsi="Tahoma" w:cs="Tahoma"/>
          <w:sz w:val="20"/>
          <w:szCs w:val="20"/>
        </w:rPr>
      </w:pPr>
      <w:r w:rsidRPr="002E2EE2">
        <w:rPr>
          <w:rFonts w:ascii="Tahoma" w:hAnsi="Tahoma" w:cs="Tahoma"/>
          <w:sz w:val="20"/>
          <w:szCs w:val="20"/>
        </w:rPr>
        <w:t xml:space="preserve"> Asimismo, </w:t>
      </w:r>
      <w:r w:rsidRPr="002E2EE2">
        <w:rPr>
          <w:rFonts w:ascii="Tahoma" w:hAnsi="Tahoma" w:cs="Tahoma"/>
          <w:color w:val="000000"/>
          <w:sz w:val="20"/>
          <w:szCs w:val="20"/>
        </w:rPr>
        <w:t xml:space="preserve">resulta importante traer a colación el </w:t>
      </w:r>
      <w:r w:rsidRPr="002E2EE2">
        <w:rPr>
          <w:rFonts w:ascii="Tahoma" w:hAnsi="Tahoma" w:cs="Tahoma"/>
          <w:i/>
          <w:iCs/>
          <w:color w:val="000000"/>
          <w:sz w:val="20"/>
          <w:szCs w:val="20"/>
        </w:rPr>
        <w:t>Principio de Razonabilidad</w:t>
      </w:r>
      <w:r w:rsidRPr="002E2EE2">
        <w:rPr>
          <w:rFonts w:ascii="Tahoma" w:hAnsi="Tahoma" w:cs="Tahoma"/>
          <w:color w:val="000000"/>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2E2EE2" w:rsidRDefault="002E2EE2" w:rsidP="002E2EE2">
      <w:pPr>
        <w:spacing w:after="0" w:line="240" w:lineRule="auto"/>
        <w:ind w:left="851"/>
        <w:jc w:val="both"/>
        <w:rPr>
          <w:rFonts w:ascii="Tahoma" w:hAnsi="Tahoma" w:cs="Tahoma"/>
          <w:sz w:val="20"/>
          <w:szCs w:val="20"/>
        </w:rPr>
      </w:pPr>
    </w:p>
    <w:p w:rsidR="002E2EE2" w:rsidRPr="002E2EE2" w:rsidRDefault="002E2EE2" w:rsidP="002E2EE2">
      <w:pPr>
        <w:numPr>
          <w:ilvl w:val="0"/>
          <w:numId w:val="3"/>
        </w:numPr>
        <w:tabs>
          <w:tab w:val="clear" w:pos="900"/>
          <w:tab w:val="num" w:pos="786"/>
        </w:tabs>
        <w:spacing w:after="0" w:line="240" w:lineRule="auto"/>
        <w:ind w:left="851" w:hanging="491"/>
        <w:jc w:val="both"/>
        <w:rPr>
          <w:rFonts w:ascii="Tahoma" w:hAnsi="Tahoma" w:cs="Tahoma"/>
          <w:sz w:val="20"/>
          <w:szCs w:val="20"/>
        </w:rPr>
      </w:pPr>
      <w:r w:rsidRPr="002E2EE2">
        <w:rPr>
          <w:rFonts w:ascii="Tahoma" w:hAnsi="Tahoma" w:cs="Tahoma"/>
          <w:sz w:val="20"/>
          <w:szCs w:val="20"/>
        </w:rPr>
        <w:t>Consecuentemente, en virtud a los criterios expuestos, este Colegiado considera que corresponde imponer al contratista una sanción equivalente a nueve (09) meses de inhabilitación temporal para participar en procesos de selección y para contratar con el Estado.</w:t>
      </w:r>
    </w:p>
    <w:p w:rsidR="002E2EE2" w:rsidRDefault="002E2EE2" w:rsidP="002E2EE2">
      <w:pPr>
        <w:spacing w:after="0" w:line="240" w:lineRule="auto"/>
        <w:ind w:left="851"/>
        <w:jc w:val="both"/>
        <w:rPr>
          <w:rFonts w:ascii="Tahoma" w:hAnsi="Tahoma" w:cs="Tahoma"/>
          <w:sz w:val="20"/>
          <w:szCs w:val="20"/>
        </w:rPr>
      </w:pPr>
    </w:p>
    <w:p w:rsidR="002E2EE2" w:rsidRPr="002E2EE2" w:rsidRDefault="002E2EE2" w:rsidP="002E2EE2">
      <w:pPr>
        <w:numPr>
          <w:ilvl w:val="0"/>
          <w:numId w:val="3"/>
        </w:numPr>
        <w:tabs>
          <w:tab w:val="clear" w:pos="900"/>
        </w:tabs>
        <w:spacing w:after="0" w:line="240" w:lineRule="auto"/>
        <w:ind w:left="851" w:hanging="491"/>
        <w:jc w:val="both"/>
        <w:rPr>
          <w:rFonts w:ascii="Tahoma" w:hAnsi="Tahoma" w:cs="Tahoma"/>
          <w:sz w:val="20"/>
          <w:szCs w:val="20"/>
        </w:rPr>
      </w:pPr>
      <w:r w:rsidRPr="002E2EE2">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 falsa declaración en procedimiento administrativo) y contra la fe pública ( falsificación de documentos) se dispone poner en conocimiento de dicha autoridad la presente Resolución, para los fines pertinentes.</w:t>
      </w:r>
    </w:p>
    <w:p w:rsidR="002E2EE2" w:rsidRPr="002E2EE2" w:rsidRDefault="002E2EE2" w:rsidP="002E2EE2">
      <w:pPr>
        <w:spacing w:after="0" w:line="240" w:lineRule="auto"/>
        <w:ind w:firstLine="567"/>
        <w:jc w:val="both"/>
        <w:rPr>
          <w:rFonts w:ascii="Tahoma" w:hAnsi="Tahoma" w:cs="Tahoma"/>
          <w:sz w:val="20"/>
          <w:szCs w:val="20"/>
          <w:lang w:val="es-ES_tradnl"/>
        </w:rPr>
      </w:pPr>
    </w:p>
    <w:p w:rsidR="002E2EE2" w:rsidRPr="002E2EE2" w:rsidRDefault="002E2EE2" w:rsidP="002E2EE2">
      <w:pPr>
        <w:spacing w:after="0" w:line="240" w:lineRule="auto"/>
        <w:ind w:left="-284" w:firstLine="360"/>
        <w:jc w:val="both"/>
        <w:rPr>
          <w:rFonts w:ascii="Tahoma" w:hAnsi="Tahoma" w:cs="Tahoma"/>
          <w:sz w:val="20"/>
          <w:szCs w:val="20"/>
        </w:rPr>
      </w:pPr>
      <w:r w:rsidRPr="002E2EE2">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E2EE2" w:rsidRPr="002E2EE2" w:rsidRDefault="002E2EE2" w:rsidP="002E2EE2">
      <w:pPr>
        <w:spacing w:after="0" w:line="240" w:lineRule="auto"/>
        <w:jc w:val="both"/>
        <w:rPr>
          <w:rFonts w:ascii="Tahoma" w:hAnsi="Tahoma" w:cs="Tahoma"/>
          <w:sz w:val="20"/>
          <w:szCs w:val="20"/>
        </w:rPr>
      </w:pPr>
    </w:p>
    <w:p w:rsidR="002E2EE2" w:rsidRPr="002E2EE2" w:rsidRDefault="002E2EE2" w:rsidP="002E2EE2">
      <w:pPr>
        <w:spacing w:after="0" w:line="240" w:lineRule="auto"/>
        <w:ind w:right="-315"/>
        <w:jc w:val="both"/>
        <w:rPr>
          <w:rFonts w:ascii="Tahoma" w:hAnsi="Tahoma" w:cs="Tahoma"/>
          <w:b/>
          <w:sz w:val="20"/>
          <w:szCs w:val="20"/>
        </w:rPr>
      </w:pPr>
      <w:r w:rsidRPr="002E2EE2">
        <w:rPr>
          <w:rFonts w:ascii="Tahoma" w:hAnsi="Tahoma" w:cs="Tahoma"/>
          <w:b/>
          <w:sz w:val="20"/>
          <w:szCs w:val="20"/>
        </w:rPr>
        <w:t>LA SALA RESUELVE:</w:t>
      </w:r>
    </w:p>
    <w:p w:rsidR="002E2EE2" w:rsidRDefault="002E2EE2" w:rsidP="002E2EE2">
      <w:pPr>
        <w:pStyle w:val="Prrafodelista"/>
        <w:widowControl/>
        <w:suppressAutoHyphens w:val="0"/>
        <w:ind w:left="851"/>
        <w:jc w:val="both"/>
        <w:rPr>
          <w:rFonts w:ascii="Tahoma" w:hAnsi="Tahoma" w:cs="Tahoma"/>
          <w:sz w:val="20"/>
        </w:rPr>
      </w:pPr>
    </w:p>
    <w:p w:rsidR="002E2EE2" w:rsidRPr="002E2EE2" w:rsidRDefault="002E2EE2" w:rsidP="002E2EE2">
      <w:pPr>
        <w:pStyle w:val="Prrafodelista"/>
        <w:widowControl/>
        <w:numPr>
          <w:ilvl w:val="0"/>
          <w:numId w:val="5"/>
        </w:numPr>
        <w:suppressAutoHyphens w:val="0"/>
        <w:ind w:left="851" w:hanging="284"/>
        <w:jc w:val="both"/>
        <w:rPr>
          <w:rFonts w:ascii="Tahoma" w:hAnsi="Tahoma" w:cs="Tahoma"/>
          <w:sz w:val="20"/>
        </w:rPr>
      </w:pPr>
      <w:r w:rsidRPr="002E2EE2">
        <w:rPr>
          <w:rFonts w:ascii="Tahoma" w:hAnsi="Tahoma" w:cs="Tahoma"/>
          <w:sz w:val="20"/>
        </w:rPr>
        <w:t xml:space="preserve">SANCIONAR a la empresa </w:t>
      </w:r>
      <w:r w:rsidRPr="002E2EE2">
        <w:rPr>
          <w:rFonts w:ascii="Tahoma" w:hAnsi="Tahoma" w:cs="Tahoma"/>
          <w:sz w:val="20"/>
          <w:lang w:val="es-PE"/>
        </w:rPr>
        <w:t>DEXION E.I.R.L.</w:t>
      </w:r>
      <w:r w:rsidRPr="002E2EE2">
        <w:rPr>
          <w:rFonts w:ascii="Tahoma" w:hAnsi="Tahoma" w:cs="Tahoma"/>
          <w:sz w:val="20"/>
        </w:rPr>
        <w:t xml:space="preserve"> con  nueve (09) meses de inhabilitación temporal para participar en procesos de selección y contratar con el Estado, sanción </w:t>
      </w:r>
      <w:r w:rsidRPr="002E2EE2">
        <w:rPr>
          <w:rFonts w:ascii="Tahoma" w:hAnsi="Tahoma" w:cs="Tahoma"/>
          <w:sz w:val="20"/>
        </w:rPr>
        <w:lastRenderedPageBreak/>
        <w:t>que entrará en vigencia a partir del sexto día hábil siguiente de notificada la presente resolución.</w:t>
      </w:r>
    </w:p>
    <w:p w:rsidR="002E2EE2" w:rsidRPr="002E2EE2" w:rsidRDefault="002E2EE2" w:rsidP="002E2EE2">
      <w:pPr>
        <w:pStyle w:val="Prrafodelista"/>
        <w:ind w:left="851"/>
        <w:jc w:val="both"/>
        <w:rPr>
          <w:rFonts w:ascii="Tahoma" w:hAnsi="Tahoma" w:cs="Tahoma"/>
          <w:sz w:val="20"/>
        </w:rPr>
      </w:pPr>
    </w:p>
    <w:p w:rsidR="002E2EE2" w:rsidRPr="002E2EE2" w:rsidRDefault="002E2EE2" w:rsidP="002E2EE2">
      <w:pPr>
        <w:pStyle w:val="Prrafodelista"/>
        <w:widowControl/>
        <w:numPr>
          <w:ilvl w:val="0"/>
          <w:numId w:val="5"/>
        </w:numPr>
        <w:suppressAutoHyphens w:val="0"/>
        <w:ind w:left="851" w:hanging="284"/>
        <w:jc w:val="both"/>
        <w:rPr>
          <w:rFonts w:ascii="Tahoma" w:hAnsi="Tahoma" w:cs="Tahoma"/>
          <w:sz w:val="20"/>
        </w:rPr>
      </w:pPr>
      <w:r w:rsidRPr="002E2EE2">
        <w:rPr>
          <w:rFonts w:ascii="Tahoma" w:hAnsi="Tahoma" w:cs="Tahoma"/>
          <w:sz w:val="20"/>
        </w:rPr>
        <w:t>Poner la presente Resolución en conocimiento de la Subdirección del Registro Nacional de Proveedores del Organismo Supervisor de las Contrataciones del Estado (OSCE), para las anotaciones de ley.</w:t>
      </w:r>
    </w:p>
    <w:p w:rsidR="002E2EE2" w:rsidRPr="002E2EE2" w:rsidRDefault="002E2EE2" w:rsidP="002E2EE2">
      <w:pPr>
        <w:pStyle w:val="Prrafodelista"/>
        <w:ind w:left="0"/>
        <w:jc w:val="both"/>
        <w:rPr>
          <w:rFonts w:ascii="Tahoma" w:hAnsi="Tahoma" w:cs="Tahoma"/>
          <w:sz w:val="20"/>
        </w:rPr>
      </w:pPr>
    </w:p>
    <w:p w:rsidR="002E2EE2" w:rsidRPr="002E2EE2" w:rsidRDefault="002E2EE2" w:rsidP="002E2EE2">
      <w:pPr>
        <w:pStyle w:val="Prrafodelista"/>
        <w:widowControl/>
        <w:numPr>
          <w:ilvl w:val="0"/>
          <w:numId w:val="5"/>
        </w:numPr>
        <w:suppressAutoHyphens w:val="0"/>
        <w:ind w:left="851" w:hanging="284"/>
        <w:jc w:val="both"/>
        <w:rPr>
          <w:rFonts w:ascii="Tahoma" w:hAnsi="Tahoma" w:cs="Tahoma"/>
          <w:sz w:val="20"/>
        </w:rPr>
      </w:pPr>
      <w:r w:rsidRPr="002E2EE2">
        <w:rPr>
          <w:rFonts w:ascii="Tahoma" w:hAnsi="Tahoma" w:cs="Tahoma"/>
          <w:sz w:val="20"/>
        </w:rPr>
        <w:t>Poner la presente Resolución en conocimiento del Ministerio Público, para los fines pertinentes.</w:t>
      </w:r>
    </w:p>
    <w:p w:rsidR="002E2EE2" w:rsidRPr="002E2EE2" w:rsidRDefault="002E2EE2" w:rsidP="002E2EE2">
      <w:pPr>
        <w:pStyle w:val="Ttulo3"/>
        <w:spacing w:line="240" w:lineRule="auto"/>
        <w:jc w:val="both"/>
        <w:rPr>
          <w:rFonts w:ascii="Tahoma" w:hAnsi="Tahoma" w:cs="Tahoma"/>
          <w:b w:val="0"/>
          <w:bCs w:val="0"/>
          <w:sz w:val="20"/>
          <w:szCs w:val="20"/>
        </w:rPr>
      </w:pPr>
      <w:r w:rsidRPr="002E2EE2">
        <w:rPr>
          <w:rFonts w:ascii="Tahoma" w:hAnsi="Tahoma" w:cs="Tahoma"/>
          <w:b w:val="0"/>
          <w:sz w:val="20"/>
          <w:szCs w:val="20"/>
        </w:rPr>
        <w:t>Regístrese, comuníquese y publíquese.</w:t>
      </w: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ind w:left="2832" w:firstLine="708"/>
        <w:jc w:val="both"/>
        <w:rPr>
          <w:rFonts w:ascii="Tahoma" w:hAnsi="Tahoma" w:cs="Tahoma"/>
          <w:b/>
          <w:shadow/>
          <w:sz w:val="20"/>
          <w:szCs w:val="20"/>
        </w:rPr>
      </w:pPr>
      <w:r w:rsidRPr="002E2EE2">
        <w:rPr>
          <w:rFonts w:ascii="Tahoma" w:hAnsi="Tahoma" w:cs="Tahoma"/>
          <w:b/>
          <w:shadow/>
          <w:sz w:val="20"/>
          <w:szCs w:val="20"/>
        </w:rPr>
        <w:t>PRESIDENTE</w:t>
      </w:r>
    </w:p>
    <w:p w:rsidR="002E2EE2" w:rsidRPr="002E2EE2" w:rsidRDefault="002E2EE2" w:rsidP="002E2EE2">
      <w:pPr>
        <w:spacing w:after="0" w:line="240" w:lineRule="auto"/>
        <w:jc w:val="both"/>
        <w:rPr>
          <w:rFonts w:ascii="Tahoma" w:hAnsi="Tahoma" w:cs="Tahoma"/>
          <w:b/>
          <w:shadow/>
          <w:sz w:val="20"/>
          <w:szCs w:val="20"/>
        </w:rPr>
      </w:pPr>
    </w:p>
    <w:p w:rsidR="002E2EE2" w:rsidRDefault="002E2EE2" w:rsidP="002E2EE2">
      <w:pPr>
        <w:spacing w:after="0" w:line="240" w:lineRule="auto"/>
        <w:jc w:val="both"/>
        <w:rPr>
          <w:rFonts w:ascii="Tahoma" w:hAnsi="Tahoma" w:cs="Tahoma"/>
          <w:b/>
          <w:shadow/>
          <w:sz w:val="20"/>
          <w:szCs w:val="20"/>
        </w:rPr>
      </w:pPr>
    </w:p>
    <w:p w:rsidR="003A644B" w:rsidRPr="002E2EE2" w:rsidRDefault="003A644B"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b/>
          <w:shadow/>
          <w:sz w:val="20"/>
          <w:szCs w:val="20"/>
        </w:rPr>
      </w:pPr>
    </w:p>
    <w:p w:rsidR="002E2EE2" w:rsidRPr="002E2EE2" w:rsidRDefault="002E2EE2" w:rsidP="002E2EE2">
      <w:pPr>
        <w:spacing w:after="0" w:line="240" w:lineRule="auto"/>
        <w:jc w:val="both"/>
        <w:rPr>
          <w:rFonts w:ascii="Tahoma" w:hAnsi="Tahoma" w:cs="Tahoma"/>
          <w:shadow/>
          <w:sz w:val="20"/>
          <w:szCs w:val="20"/>
        </w:rPr>
      </w:pPr>
      <w:r w:rsidRPr="002E2EE2">
        <w:rPr>
          <w:rFonts w:ascii="Tahoma" w:hAnsi="Tahoma" w:cs="Tahoma"/>
          <w:b/>
          <w:shadow/>
          <w:sz w:val="20"/>
          <w:szCs w:val="20"/>
        </w:rPr>
        <w:t xml:space="preserve">                   VOCAL</w:t>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r>
      <w:r w:rsidRPr="002E2EE2">
        <w:rPr>
          <w:rFonts w:ascii="Tahoma" w:hAnsi="Tahoma" w:cs="Tahoma"/>
          <w:b/>
          <w:shadow/>
          <w:sz w:val="20"/>
          <w:szCs w:val="20"/>
        </w:rPr>
        <w:tab/>
        <w:t xml:space="preserve">VOCAL                                                                 </w:t>
      </w:r>
    </w:p>
    <w:p w:rsidR="002E2EE2" w:rsidRPr="002E2EE2" w:rsidRDefault="002E2EE2" w:rsidP="002E2EE2">
      <w:pPr>
        <w:spacing w:after="0" w:line="240" w:lineRule="auto"/>
        <w:jc w:val="both"/>
        <w:rPr>
          <w:rFonts w:ascii="Tahoma" w:hAnsi="Tahoma" w:cs="Tahoma"/>
          <w:sz w:val="20"/>
          <w:szCs w:val="20"/>
        </w:rPr>
      </w:pPr>
    </w:p>
    <w:p w:rsidR="002E2EE2" w:rsidRPr="002E2EE2" w:rsidRDefault="002E2EE2" w:rsidP="002E2EE2">
      <w:pPr>
        <w:spacing w:after="0" w:line="240" w:lineRule="auto"/>
        <w:jc w:val="both"/>
        <w:rPr>
          <w:rFonts w:ascii="Tahoma" w:hAnsi="Tahoma" w:cs="Tahoma"/>
          <w:sz w:val="20"/>
          <w:szCs w:val="20"/>
        </w:rPr>
      </w:pPr>
    </w:p>
    <w:p w:rsidR="002E2EE2" w:rsidRPr="002E2EE2" w:rsidRDefault="002E2EE2" w:rsidP="002E2EE2">
      <w:pPr>
        <w:spacing w:after="0" w:line="240" w:lineRule="auto"/>
        <w:jc w:val="both"/>
        <w:rPr>
          <w:rFonts w:ascii="Tahoma" w:hAnsi="Tahoma" w:cs="Tahoma"/>
          <w:sz w:val="20"/>
          <w:szCs w:val="20"/>
        </w:rPr>
      </w:pPr>
    </w:p>
    <w:p w:rsidR="002E2EE2" w:rsidRPr="003A644B" w:rsidRDefault="002E2EE2" w:rsidP="002E2EE2">
      <w:pPr>
        <w:spacing w:after="0" w:line="240" w:lineRule="auto"/>
        <w:jc w:val="both"/>
        <w:rPr>
          <w:rFonts w:ascii="Tahoma" w:hAnsi="Tahoma" w:cs="Tahoma"/>
          <w:sz w:val="18"/>
          <w:szCs w:val="18"/>
        </w:rPr>
      </w:pPr>
      <w:r w:rsidRPr="003A644B">
        <w:rPr>
          <w:rFonts w:ascii="Tahoma" w:hAnsi="Tahoma" w:cs="Tahoma"/>
          <w:sz w:val="18"/>
          <w:szCs w:val="18"/>
        </w:rPr>
        <w:t>ss.</w:t>
      </w:r>
    </w:p>
    <w:p w:rsidR="002E2EE2" w:rsidRPr="003A644B" w:rsidRDefault="002E2EE2" w:rsidP="002E2EE2">
      <w:pPr>
        <w:spacing w:after="0" w:line="240" w:lineRule="auto"/>
        <w:jc w:val="both"/>
        <w:rPr>
          <w:rFonts w:ascii="Tahoma" w:hAnsi="Tahoma" w:cs="Tahoma"/>
          <w:sz w:val="18"/>
          <w:szCs w:val="18"/>
        </w:rPr>
      </w:pPr>
      <w:r w:rsidRPr="003A644B">
        <w:rPr>
          <w:rFonts w:ascii="Tahoma" w:hAnsi="Tahoma" w:cs="Tahoma"/>
          <w:sz w:val="18"/>
          <w:szCs w:val="18"/>
        </w:rPr>
        <w:t>Navas Rondón.</w:t>
      </w:r>
    </w:p>
    <w:p w:rsidR="002E2EE2" w:rsidRPr="003A644B" w:rsidRDefault="002E2EE2" w:rsidP="002E2EE2">
      <w:pPr>
        <w:spacing w:after="0" w:line="240" w:lineRule="auto"/>
        <w:jc w:val="both"/>
        <w:rPr>
          <w:rFonts w:ascii="Tahoma" w:hAnsi="Tahoma" w:cs="Tahoma"/>
          <w:sz w:val="18"/>
          <w:szCs w:val="18"/>
        </w:rPr>
      </w:pPr>
      <w:r w:rsidRPr="003A644B">
        <w:rPr>
          <w:rFonts w:ascii="Tahoma" w:hAnsi="Tahoma" w:cs="Tahoma"/>
          <w:sz w:val="18"/>
          <w:szCs w:val="18"/>
        </w:rPr>
        <w:t>Ramírez Maynetto.</w:t>
      </w:r>
    </w:p>
    <w:p w:rsidR="002E2EE2" w:rsidRPr="003A644B" w:rsidRDefault="002E2EE2" w:rsidP="002E2EE2">
      <w:pPr>
        <w:spacing w:after="0" w:line="240" w:lineRule="auto"/>
        <w:jc w:val="both"/>
        <w:rPr>
          <w:rFonts w:ascii="Tahoma" w:hAnsi="Tahoma" w:cs="Tahoma"/>
          <w:sz w:val="18"/>
          <w:szCs w:val="18"/>
        </w:rPr>
      </w:pPr>
      <w:r w:rsidRPr="003A644B">
        <w:rPr>
          <w:rFonts w:ascii="Tahoma" w:hAnsi="Tahoma" w:cs="Tahoma"/>
          <w:sz w:val="18"/>
          <w:szCs w:val="18"/>
        </w:rPr>
        <w:t xml:space="preserve">Basulto Liewald, </w:t>
      </w:r>
    </w:p>
    <w:p w:rsidR="002E2EE2" w:rsidRPr="003C7E91" w:rsidRDefault="002E2EE2" w:rsidP="002E2EE2">
      <w:pPr>
        <w:rPr>
          <w:rFonts w:ascii="Tahoma" w:hAnsi="Tahoma" w:cs="Tahoma"/>
          <w:sz w:val="18"/>
          <w:szCs w:val="18"/>
        </w:rPr>
      </w:pPr>
    </w:p>
    <w:p w:rsidR="00260F0B" w:rsidRPr="002E2EE2" w:rsidRDefault="00315676">
      <w:pPr>
        <w:rPr>
          <w:rFonts w:ascii="Tahoma" w:hAnsi="Tahoma" w:cs="Tahoma"/>
          <w:sz w:val="20"/>
          <w:szCs w:val="20"/>
        </w:rPr>
      </w:pPr>
    </w:p>
    <w:sectPr w:rsidR="00260F0B" w:rsidRPr="002E2EE2" w:rsidSect="003A644B">
      <w:headerReference w:type="default" r:id="rId7"/>
      <w:footerReference w:type="default" r:id="rId8"/>
      <w:pgSz w:w="11906" w:h="16838"/>
      <w:pgMar w:top="2836" w:right="1700" w:bottom="1418"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676" w:rsidRDefault="00315676" w:rsidP="002E2EE2">
      <w:pPr>
        <w:spacing w:after="0" w:line="240" w:lineRule="auto"/>
      </w:pPr>
      <w:r>
        <w:separator/>
      </w:r>
    </w:p>
  </w:endnote>
  <w:endnote w:type="continuationSeparator" w:id="1">
    <w:p w:rsidR="00315676" w:rsidRDefault="00315676" w:rsidP="002E2E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7FC" w:rsidRPr="00FD5A0C" w:rsidRDefault="003A644B">
    <w:pPr>
      <w:pStyle w:val="Piedepgina"/>
      <w:jc w:val="center"/>
      <w:rPr>
        <w:rFonts w:ascii="Tahoma" w:hAnsi="Tahoma" w:cs="Tahoma"/>
        <w:i/>
        <w:sz w:val="18"/>
        <w:szCs w:val="18"/>
      </w:rPr>
    </w:pPr>
    <w:r w:rsidRPr="00FD5A0C">
      <w:rPr>
        <w:rFonts w:ascii="Tahoma" w:hAnsi="Tahoma" w:cs="Tahoma"/>
        <w:i/>
        <w:sz w:val="18"/>
        <w:szCs w:val="18"/>
      </w:rPr>
      <w:t xml:space="preserve">Página </w:t>
    </w:r>
    <w:r w:rsidR="00915551" w:rsidRPr="00FD5A0C">
      <w:rPr>
        <w:rFonts w:ascii="Tahoma" w:hAnsi="Tahoma" w:cs="Tahoma"/>
        <w:i/>
        <w:sz w:val="18"/>
        <w:szCs w:val="18"/>
      </w:rPr>
      <w:fldChar w:fldCharType="begin"/>
    </w:r>
    <w:r w:rsidRPr="00FD5A0C">
      <w:rPr>
        <w:rFonts w:ascii="Tahoma" w:hAnsi="Tahoma" w:cs="Tahoma"/>
        <w:i/>
        <w:sz w:val="18"/>
        <w:szCs w:val="18"/>
      </w:rPr>
      <w:instrText>PAGE</w:instrText>
    </w:r>
    <w:r w:rsidR="00915551" w:rsidRPr="00FD5A0C">
      <w:rPr>
        <w:rFonts w:ascii="Tahoma" w:hAnsi="Tahoma" w:cs="Tahoma"/>
        <w:i/>
        <w:sz w:val="18"/>
        <w:szCs w:val="18"/>
      </w:rPr>
      <w:fldChar w:fldCharType="separate"/>
    </w:r>
    <w:r w:rsidR="00F20768">
      <w:rPr>
        <w:rFonts w:ascii="Tahoma" w:hAnsi="Tahoma" w:cs="Tahoma"/>
        <w:i/>
        <w:noProof/>
        <w:sz w:val="18"/>
        <w:szCs w:val="18"/>
      </w:rPr>
      <w:t>1</w:t>
    </w:r>
    <w:r w:rsidR="00915551" w:rsidRPr="00FD5A0C">
      <w:rPr>
        <w:rFonts w:ascii="Tahoma" w:hAnsi="Tahoma" w:cs="Tahoma"/>
        <w:i/>
        <w:sz w:val="18"/>
        <w:szCs w:val="18"/>
      </w:rPr>
      <w:fldChar w:fldCharType="end"/>
    </w:r>
    <w:r w:rsidRPr="00FD5A0C">
      <w:rPr>
        <w:rFonts w:ascii="Tahoma" w:hAnsi="Tahoma" w:cs="Tahoma"/>
        <w:i/>
        <w:sz w:val="18"/>
        <w:szCs w:val="18"/>
      </w:rPr>
      <w:t xml:space="preserve"> de </w:t>
    </w:r>
    <w:r w:rsidR="00915551" w:rsidRPr="00FD5A0C">
      <w:rPr>
        <w:rFonts w:ascii="Tahoma" w:hAnsi="Tahoma" w:cs="Tahoma"/>
        <w:i/>
        <w:sz w:val="18"/>
        <w:szCs w:val="18"/>
      </w:rPr>
      <w:fldChar w:fldCharType="begin"/>
    </w:r>
    <w:r w:rsidRPr="00FD5A0C">
      <w:rPr>
        <w:rFonts w:ascii="Tahoma" w:hAnsi="Tahoma" w:cs="Tahoma"/>
        <w:i/>
        <w:sz w:val="18"/>
        <w:szCs w:val="18"/>
      </w:rPr>
      <w:instrText>NUMPAGES</w:instrText>
    </w:r>
    <w:r w:rsidR="00915551" w:rsidRPr="00FD5A0C">
      <w:rPr>
        <w:rFonts w:ascii="Tahoma" w:hAnsi="Tahoma" w:cs="Tahoma"/>
        <w:i/>
        <w:sz w:val="18"/>
        <w:szCs w:val="18"/>
      </w:rPr>
      <w:fldChar w:fldCharType="separate"/>
    </w:r>
    <w:r w:rsidR="00F20768">
      <w:rPr>
        <w:rFonts w:ascii="Tahoma" w:hAnsi="Tahoma" w:cs="Tahoma"/>
        <w:i/>
        <w:noProof/>
        <w:sz w:val="18"/>
        <w:szCs w:val="18"/>
      </w:rPr>
      <w:t>7</w:t>
    </w:r>
    <w:r w:rsidR="00915551" w:rsidRPr="00FD5A0C">
      <w:rPr>
        <w:rFonts w:ascii="Tahoma" w:hAnsi="Tahoma" w:cs="Tahoma"/>
        <w:i/>
        <w:sz w:val="18"/>
        <w:szCs w:val="18"/>
      </w:rPr>
      <w:fldChar w:fldCharType="end"/>
    </w:r>
  </w:p>
  <w:p w:rsidR="00D157FC" w:rsidRDefault="0031567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676" w:rsidRDefault="00315676" w:rsidP="002E2EE2">
      <w:pPr>
        <w:spacing w:after="0" w:line="240" w:lineRule="auto"/>
      </w:pPr>
      <w:r>
        <w:separator/>
      </w:r>
    </w:p>
  </w:footnote>
  <w:footnote w:type="continuationSeparator" w:id="1">
    <w:p w:rsidR="00315676" w:rsidRDefault="00315676" w:rsidP="002E2EE2">
      <w:pPr>
        <w:spacing w:after="0" w:line="240" w:lineRule="auto"/>
      </w:pPr>
      <w:r>
        <w:continuationSeparator/>
      </w:r>
    </w:p>
  </w:footnote>
  <w:footnote w:id="2">
    <w:p w:rsidR="002E2EE2" w:rsidRPr="009F1F66" w:rsidRDefault="002E2EE2" w:rsidP="002E2EE2">
      <w:pPr>
        <w:pStyle w:val="Textonotapie"/>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Artículo 294.- Causales de aplicación de sanción a los proveedores, participantes postores y contratistas.-</w:t>
      </w:r>
      <w:r w:rsidRPr="009F1F66">
        <w:rPr>
          <w:sz w:val="18"/>
          <w:szCs w:val="18"/>
        </w:rPr>
        <w:t xml:space="preserve"> El Tribunal impondrá sanción administrativa de suspensión o inhabilitación temporal o definitiva a los proveedores, participantes postores y/o contratistas que:</w:t>
      </w:r>
    </w:p>
    <w:p w:rsidR="002E2EE2" w:rsidRPr="009F1F66" w:rsidRDefault="002E2EE2" w:rsidP="002E2EE2">
      <w:pPr>
        <w:pStyle w:val="Textonotapie"/>
        <w:rPr>
          <w:sz w:val="18"/>
          <w:szCs w:val="18"/>
        </w:rPr>
      </w:pPr>
      <w:r w:rsidRPr="009F1F66">
        <w:rPr>
          <w:sz w:val="18"/>
          <w:szCs w:val="18"/>
        </w:rPr>
        <w:t xml:space="preserve">(…) </w:t>
      </w:r>
    </w:p>
    <w:p w:rsidR="002E2EE2" w:rsidRPr="009F1F66" w:rsidRDefault="002E2EE2" w:rsidP="002E2EE2">
      <w:pPr>
        <w:pStyle w:val="Textonotapie"/>
        <w:rPr>
          <w:sz w:val="18"/>
          <w:szCs w:val="18"/>
        </w:rPr>
      </w:pPr>
      <w:r w:rsidRPr="009F1F66">
        <w:rPr>
          <w:sz w:val="18"/>
          <w:szCs w:val="18"/>
        </w:rPr>
        <w:t>10) Presenten documentos falsos o con información inexacta en los procedimientos seguidos ante el Registro Nacional de proveedores;</w:t>
      </w:r>
    </w:p>
    <w:p w:rsidR="002E2EE2" w:rsidRPr="009F1F66" w:rsidRDefault="002E2EE2" w:rsidP="002E2EE2">
      <w:pPr>
        <w:pStyle w:val="Textonotapie"/>
        <w:rPr>
          <w:sz w:val="18"/>
          <w:szCs w:val="18"/>
        </w:rPr>
      </w:pPr>
      <w:r w:rsidRPr="009F1F66">
        <w:rPr>
          <w:sz w:val="18"/>
          <w:szCs w:val="18"/>
        </w:rPr>
        <w:t>(…)”.</w:t>
      </w:r>
    </w:p>
    <w:p w:rsidR="002E2EE2" w:rsidRDefault="002E2EE2" w:rsidP="002E2EE2">
      <w:pPr>
        <w:pStyle w:val="Textonotapie"/>
      </w:pPr>
    </w:p>
  </w:footnote>
  <w:footnote w:id="3">
    <w:p w:rsidR="002E2EE2" w:rsidRPr="009F1F66" w:rsidRDefault="002E2EE2" w:rsidP="002E2EE2">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sidRPr="009F1F66">
        <w:rPr>
          <w:rStyle w:val="Refdenotaalpie"/>
          <w:sz w:val="18"/>
          <w:szCs w:val="18"/>
        </w:rPr>
        <w:footnoteRef/>
      </w:r>
      <w:r w:rsidRPr="009F1F66">
        <w:rPr>
          <w:sz w:val="18"/>
          <w:szCs w:val="18"/>
        </w:rPr>
        <w:t xml:space="preserve"> </w:t>
      </w:r>
      <w:r w:rsidRPr="009F1F66">
        <w:rPr>
          <w:b/>
          <w:bCs/>
          <w:sz w:val="18"/>
          <w:szCs w:val="18"/>
        </w:rPr>
        <w:t xml:space="preserve">5. </w:t>
      </w:r>
      <w:r w:rsidRPr="009F1F66">
        <w:rPr>
          <w:sz w:val="18"/>
          <w:szCs w:val="18"/>
        </w:rPr>
        <w:t>Irretroactividad.- Son aplicables las disposiciones sancionadoras vigentes en el momento de incurrir el administrado en la conducta a sancionar, salvo que las posteriores le sean más favorables.</w:t>
      </w:r>
    </w:p>
    <w:p w:rsidR="002E2EE2" w:rsidRDefault="002E2EE2" w:rsidP="002E2EE2">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2E2EE2" w:rsidRDefault="002E2EE2" w:rsidP="002E2EE2">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768" w:rsidRDefault="00F20768" w:rsidP="00F20768">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F20768" w:rsidRDefault="00F20768" w:rsidP="00F20768">
    <w:pPr>
      <w:pStyle w:val="Encabezado"/>
      <w:rPr>
        <w:noProof/>
      </w:rPr>
    </w:pPr>
  </w:p>
  <w:p w:rsidR="00F20768" w:rsidRDefault="00F20768" w:rsidP="00F20768">
    <w:pPr>
      <w:pStyle w:val="Encabezado"/>
      <w:rPr>
        <w:noProof/>
      </w:rPr>
    </w:pPr>
  </w:p>
  <w:p w:rsidR="00F20768" w:rsidRDefault="00F20768" w:rsidP="00F20768">
    <w:pPr>
      <w:pStyle w:val="Encabezado"/>
      <w:rPr>
        <w:noProof/>
      </w:rPr>
    </w:pPr>
  </w:p>
  <w:p w:rsidR="00F20768" w:rsidRDefault="00F20768" w:rsidP="00F20768">
    <w:pPr>
      <w:pStyle w:val="Encabezado"/>
      <w:jc w:val="center"/>
    </w:pPr>
    <w:r>
      <w:rPr>
        <w:rFonts w:ascii="Monotype Corsiva" w:hAnsi="Monotype Corsiva"/>
        <w:b/>
        <w:sz w:val="44"/>
        <w:szCs w:val="44"/>
      </w:rPr>
      <w:t xml:space="preserve">Resolución Nº   </w:t>
    </w:r>
    <w:r>
      <w:rPr>
        <w:rFonts w:ascii="Tahoma" w:hAnsi="Tahoma" w:cs="Tahoma"/>
        <w:b/>
        <w:sz w:val="44"/>
        <w:szCs w:val="44"/>
      </w:rPr>
      <w:t>785-2011-TC-S1</w:t>
    </w:r>
  </w:p>
  <w:p w:rsidR="00F20768" w:rsidRDefault="00F2076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4">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2E2EE2"/>
    <w:rsid w:val="00004483"/>
    <w:rsid w:val="002E2EE2"/>
    <w:rsid w:val="00315676"/>
    <w:rsid w:val="003A644B"/>
    <w:rsid w:val="003C7E91"/>
    <w:rsid w:val="00582E67"/>
    <w:rsid w:val="0066645E"/>
    <w:rsid w:val="00915551"/>
    <w:rsid w:val="0096071E"/>
    <w:rsid w:val="00B93DEE"/>
    <w:rsid w:val="00F207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E2"/>
    <w:rPr>
      <w:rFonts w:ascii="Calibri" w:eastAsia="Calibri" w:hAnsi="Calibri" w:cs="Times New Roman"/>
    </w:rPr>
  </w:style>
  <w:style w:type="paragraph" w:styleId="Ttulo2">
    <w:name w:val="heading 2"/>
    <w:basedOn w:val="Normal"/>
    <w:next w:val="Normal"/>
    <w:link w:val="Ttulo2Car"/>
    <w:qFormat/>
    <w:rsid w:val="002E2EE2"/>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2E2EE2"/>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E2EE2"/>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2E2EE2"/>
    <w:rPr>
      <w:rFonts w:ascii="Arial" w:eastAsia="Calibri" w:hAnsi="Arial" w:cs="Arial"/>
      <w:b/>
      <w:bCs/>
      <w:sz w:val="26"/>
      <w:szCs w:val="26"/>
    </w:rPr>
  </w:style>
  <w:style w:type="paragraph" w:styleId="Textoindependiente3">
    <w:name w:val="Body Text 3"/>
    <w:basedOn w:val="Normal"/>
    <w:link w:val="Textoindependiente3Car"/>
    <w:semiHidden/>
    <w:unhideWhenUsed/>
    <w:rsid w:val="002E2EE2"/>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2E2EE2"/>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2E2EE2"/>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2E2EE2"/>
    <w:pPr>
      <w:tabs>
        <w:tab w:val="center" w:pos="4252"/>
        <w:tab w:val="right" w:pos="8504"/>
      </w:tabs>
    </w:pPr>
  </w:style>
  <w:style w:type="character" w:customStyle="1" w:styleId="PiedepginaCar">
    <w:name w:val="Pie de página Car"/>
    <w:basedOn w:val="Fuentedeprrafopredeter"/>
    <w:link w:val="Piedepgina"/>
    <w:uiPriority w:val="99"/>
    <w:rsid w:val="002E2EE2"/>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2E2EE2"/>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2E2EE2"/>
    <w:rPr>
      <w:rFonts w:ascii="Tahoma" w:eastAsia="Calibri" w:hAnsi="Tahoma" w:cs="Tahoma"/>
      <w:sz w:val="20"/>
      <w:szCs w:val="20"/>
    </w:rPr>
  </w:style>
  <w:style w:type="character" w:styleId="Refdenotaalpie">
    <w:name w:val="footnote reference"/>
    <w:basedOn w:val="Fuentedeprrafopredeter"/>
    <w:uiPriority w:val="99"/>
    <w:semiHidden/>
    <w:rsid w:val="002E2EE2"/>
    <w:rPr>
      <w:vertAlign w:val="superscript"/>
    </w:rPr>
  </w:style>
  <w:style w:type="paragraph" w:styleId="Textoindependiente">
    <w:name w:val="Body Text"/>
    <w:basedOn w:val="Normal"/>
    <w:link w:val="TextoindependienteCar"/>
    <w:uiPriority w:val="99"/>
    <w:semiHidden/>
    <w:unhideWhenUsed/>
    <w:rsid w:val="002E2EE2"/>
    <w:pPr>
      <w:spacing w:after="120"/>
    </w:pPr>
  </w:style>
  <w:style w:type="character" w:customStyle="1" w:styleId="TextoindependienteCar">
    <w:name w:val="Texto independiente Car"/>
    <w:basedOn w:val="Fuentedeprrafopredeter"/>
    <w:link w:val="Textoindependiente"/>
    <w:uiPriority w:val="99"/>
    <w:semiHidden/>
    <w:rsid w:val="002E2EE2"/>
    <w:rPr>
      <w:rFonts w:ascii="Calibri" w:eastAsia="Calibri" w:hAnsi="Calibri" w:cs="Times New Roman"/>
    </w:rPr>
  </w:style>
  <w:style w:type="paragraph" w:styleId="NormalWeb">
    <w:name w:val="Normal (Web)"/>
    <w:basedOn w:val="Normal"/>
    <w:uiPriority w:val="99"/>
    <w:rsid w:val="002E2EE2"/>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2E2EE2"/>
    <w:pPr>
      <w:spacing w:after="0" w:line="240" w:lineRule="auto"/>
      <w:ind w:left="720"/>
    </w:pPr>
    <w:rPr>
      <w:rFonts w:ascii="Times New Roman" w:hAnsi="Times New Roman"/>
      <w:sz w:val="24"/>
      <w:szCs w:val="24"/>
      <w:lang w:eastAsia="es-ES"/>
    </w:rPr>
  </w:style>
  <w:style w:type="character" w:styleId="Textoennegrita">
    <w:name w:val="Strong"/>
    <w:basedOn w:val="Fuentedeprrafopredeter"/>
    <w:uiPriority w:val="99"/>
    <w:qFormat/>
    <w:rsid w:val="002E2EE2"/>
    <w:rPr>
      <w:b/>
      <w:bCs/>
    </w:rPr>
  </w:style>
  <w:style w:type="paragraph" w:styleId="Encabezado">
    <w:name w:val="header"/>
    <w:aliases w:val="maria,h"/>
    <w:basedOn w:val="Normal"/>
    <w:link w:val="EncabezadoCar"/>
    <w:uiPriority w:val="99"/>
    <w:semiHidden/>
    <w:unhideWhenUsed/>
    <w:rsid w:val="00F20768"/>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F2076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974098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2736</Words>
  <Characters>15054</Characters>
  <Application>Microsoft Office Word</Application>
  <DocSecurity>0</DocSecurity>
  <Lines>125</Lines>
  <Paragraphs>35</Paragraphs>
  <ScaleCrop>false</ScaleCrop>
  <Company/>
  <LinksUpToDate>false</LinksUpToDate>
  <CharactersWithSpaces>17755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6</cp:revision>
  <cp:lastPrinted>2011-05-10T21:50:00Z</cp:lastPrinted>
  <dcterms:created xsi:type="dcterms:W3CDTF">2011-05-10T21:43:00Z</dcterms:created>
  <dcterms:modified xsi:type="dcterms:W3CDTF">2011-06-22T14:36:00Z</dcterms:modified>
</cp:coreProperties>
</file>